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A0CAA">
      <w:pPr>
        <w:numPr>
          <w:numId w:val="0"/>
        </w:numPr>
        <w:spacing w:before="156" w:beforeLines="50" w:after="156" w:afterLines="50" w:line="360" w:lineRule="auto"/>
        <w:ind w:leftChars="0"/>
        <w:jc w:val="center"/>
        <w:outlineLvl w:val="0"/>
        <w:rPr>
          <w:rFonts w:ascii="楷体" w:hAnsi="楷体" w:eastAsia="楷体" w:cs="Arial"/>
          <w:b/>
          <w:sz w:val="28"/>
        </w:rPr>
      </w:pPr>
      <w:r>
        <w:rPr>
          <w:rFonts w:hint="eastAsia" w:ascii="楷体" w:hAnsi="楷体" w:eastAsia="楷体" w:cs="Arial"/>
          <w:b/>
          <w:kern w:val="0"/>
          <w:sz w:val="28"/>
        </w:rPr>
        <w:t>保险计划及责任</w:t>
      </w:r>
    </w:p>
    <w:p w14:paraId="0C149394">
      <w:pPr>
        <w:pStyle w:val="7"/>
        <w:numPr>
          <w:ilvl w:val="0"/>
          <w:numId w:val="1"/>
        </w:numPr>
        <w:spacing w:line="360" w:lineRule="auto"/>
        <w:ind w:firstLineChars="0"/>
        <w:outlineLvl w:val="1"/>
        <w:rPr>
          <w:rFonts w:ascii="楷体" w:hAnsi="楷体" w:eastAsia="楷体" w:cs="Arial"/>
          <w:sz w:val="28"/>
        </w:rPr>
      </w:pPr>
      <w:r>
        <w:rPr>
          <w:rFonts w:hint="eastAsia" w:ascii="楷体" w:hAnsi="楷体" w:eastAsia="楷体" w:cs="Arial"/>
          <w:color w:val="000000"/>
          <w:kern w:val="0"/>
          <w:sz w:val="24"/>
        </w:rPr>
        <w:t>保险计划</w:t>
      </w:r>
    </w:p>
    <w:p w14:paraId="7CFEADE4">
      <w:pPr>
        <w:pStyle w:val="3"/>
        <w:spacing w:before="0" w:after="0" w:line="360" w:lineRule="auto"/>
        <w:jc w:val="right"/>
        <w:rPr>
          <w:rFonts w:ascii="楷体" w:hAnsi="楷体" w:eastAsia="楷体" w:cs="Arial"/>
          <w:color w:val="000000"/>
          <w:kern w:val="0"/>
          <w:sz w:val="24"/>
        </w:rPr>
      </w:pPr>
      <w:r>
        <w:rPr>
          <w:rFonts w:hint="eastAsia" w:ascii="楷体" w:hAnsi="楷体" w:eastAsia="楷体" w:cs="Arial"/>
          <w:color w:val="000000"/>
          <w:kern w:val="0"/>
          <w:sz w:val="24"/>
        </w:rPr>
        <w:t xml:space="preserve"> （单位：人民币 元/人/保单年度）</w:t>
      </w:r>
    </w:p>
    <w:tbl>
      <w:tblPr>
        <w:tblStyle w:val="5"/>
        <w:tblW w:w="9640" w:type="dxa"/>
        <w:jc w:val="center"/>
        <w:tblLayout w:type="autofit"/>
        <w:tblCellMar>
          <w:top w:w="0" w:type="dxa"/>
          <w:left w:w="108" w:type="dxa"/>
          <w:bottom w:w="0" w:type="dxa"/>
          <w:right w:w="108" w:type="dxa"/>
        </w:tblCellMar>
      </w:tblPr>
      <w:tblGrid>
        <w:gridCol w:w="1521"/>
        <w:gridCol w:w="107"/>
        <w:gridCol w:w="1628"/>
        <w:gridCol w:w="1281"/>
        <w:gridCol w:w="2410"/>
        <w:gridCol w:w="2693"/>
      </w:tblGrid>
      <w:tr w14:paraId="6504CB1F">
        <w:tblPrEx>
          <w:tblCellMar>
            <w:top w:w="0" w:type="dxa"/>
            <w:left w:w="108" w:type="dxa"/>
            <w:bottom w:w="0" w:type="dxa"/>
            <w:right w:w="108" w:type="dxa"/>
          </w:tblCellMar>
        </w:tblPrEx>
        <w:trPr>
          <w:trHeight w:val="285" w:hRule="atLeast"/>
          <w:jc w:val="center"/>
        </w:trPr>
        <w:tc>
          <w:tcPr>
            <w:tcW w:w="3256" w:type="dxa"/>
            <w:gridSpan w:val="3"/>
            <w:tcBorders>
              <w:top w:val="single" w:color="auto" w:sz="4" w:space="0"/>
              <w:left w:val="single" w:color="auto" w:sz="4" w:space="0"/>
              <w:bottom w:val="single" w:color="auto" w:sz="4" w:space="0"/>
              <w:right w:val="single" w:color="000000" w:sz="4" w:space="0"/>
            </w:tcBorders>
            <w:vAlign w:val="center"/>
          </w:tcPr>
          <w:p w14:paraId="516205C1">
            <w:pPr>
              <w:widowControl/>
              <w:jc w:val="center"/>
              <w:rPr>
                <w:rFonts w:ascii="楷体" w:hAnsi="楷体" w:eastAsia="楷体" w:cs="宋体"/>
                <w:b/>
                <w:bCs/>
                <w:color w:val="000000"/>
                <w:kern w:val="0"/>
                <w:szCs w:val="21"/>
              </w:rPr>
            </w:pPr>
            <w:r>
              <w:rPr>
                <w:rFonts w:hint="eastAsia" w:ascii="楷体" w:hAnsi="楷体" w:eastAsia="楷体" w:cs="宋体"/>
                <w:b/>
                <w:bCs/>
                <w:color w:val="000000"/>
                <w:kern w:val="0"/>
                <w:szCs w:val="21"/>
              </w:rPr>
              <w:t>保险责任</w:t>
            </w:r>
          </w:p>
        </w:tc>
        <w:tc>
          <w:tcPr>
            <w:tcW w:w="1281" w:type="dxa"/>
            <w:tcBorders>
              <w:top w:val="single" w:color="auto" w:sz="4" w:space="0"/>
              <w:left w:val="nil"/>
              <w:bottom w:val="single" w:color="auto" w:sz="4" w:space="0"/>
              <w:right w:val="single" w:color="auto" w:sz="4" w:space="0"/>
            </w:tcBorders>
            <w:vAlign w:val="center"/>
          </w:tcPr>
          <w:p w14:paraId="388395C1">
            <w:pPr>
              <w:widowControl/>
              <w:jc w:val="center"/>
              <w:rPr>
                <w:rFonts w:ascii="楷体" w:hAnsi="楷体" w:eastAsia="楷体" w:cs="宋体"/>
                <w:b/>
                <w:bCs/>
                <w:color w:val="000000"/>
                <w:kern w:val="0"/>
                <w:szCs w:val="21"/>
              </w:rPr>
            </w:pPr>
            <w:r>
              <w:rPr>
                <w:rFonts w:hint="eastAsia" w:ascii="楷体" w:hAnsi="楷体" w:eastAsia="楷体" w:cs="宋体"/>
                <w:b/>
                <w:bCs/>
                <w:color w:val="000000"/>
                <w:kern w:val="0"/>
                <w:szCs w:val="21"/>
              </w:rPr>
              <w:t>保险金额</w:t>
            </w:r>
          </w:p>
        </w:tc>
        <w:tc>
          <w:tcPr>
            <w:tcW w:w="2410" w:type="dxa"/>
            <w:tcBorders>
              <w:top w:val="single" w:color="auto" w:sz="4" w:space="0"/>
              <w:left w:val="nil"/>
              <w:bottom w:val="single" w:color="auto" w:sz="4" w:space="0"/>
              <w:right w:val="single" w:color="auto" w:sz="4" w:space="0"/>
            </w:tcBorders>
            <w:vAlign w:val="center"/>
          </w:tcPr>
          <w:p w14:paraId="2B14E262">
            <w:pPr>
              <w:widowControl/>
              <w:jc w:val="center"/>
              <w:rPr>
                <w:rFonts w:ascii="楷体" w:hAnsi="楷体" w:eastAsia="楷体" w:cs="宋体"/>
                <w:b/>
                <w:bCs/>
                <w:color w:val="000000"/>
                <w:kern w:val="0"/>
                <w:szCs w:val="21"/>
              </w:rPr>
            </w:pPr>
            <w:r>
              <w:rPr>
                <w:rFonts w:hint="eastAsia" w:ascii="楷体" w:hAnsi="楷体" w:eastAsia="楷体" w:cs="宋体"/>
                <w:b/>
                <w:bCs/>
                <w:color w:val="000000"/>
                <w:kern w:val="0"/>
                <w:szCs w:val="21"/>
              </w:rPr>
              <w:t>免赔条件</w:t>
            </w:r>
          </w:p>
        </w:tc>
        <w:tc>
          <w:tcPr>
            <w:tcW w:w="2693" w:type="dxa"/>
            <w:tcBorders>
              <w:top w:val="single" w:color="auto" w:sz="4" w:space="0"/>
              <w:left w:val="nil"/>
              <w:bottom w:val="single" w:color="auto" w:sz="4" w:space="0"/>
              <w:right w:val="single" w:color="auto" w:sz="4" w:space="0"/>
            </w:tcBorders>
            <w:vAlign w:val="center"/>
          </w:tcPr>
          <w:p w14:paraId="5B3D9833">
            <w:pPr>
              <w:jc w:val="center"/>
              <w:rPr>
                <w:rFonts w:ascii="楷体" w:hAnsi="楷体" w:eastAsia="楷体" w:cs="宋体"/>
                <w:b/>
                <w:bCs/>
                <w:color w:val="000000"/>
                <w:kern w:val="0"/>
                <w:szCs w:val="21"/>
              </w:rPr>
            </w:pPr>
            <w:r>
              <w:rPr>
                <w:rFonts w:hint="eastAsia" w:ascii="楷体" w:hAnsi="楷体" w:eastAsia="楷体" w:cs="宋体"/>
                <w:b/>
                <w:bCs/>
                <w:color w:val="000000"/>
                <w:kern w:val="0"/>
                <w:szCs w:val="21"/>
              </w:rPr>
              <w:t>备注</w:t>
            </w:r>
          </w:p>
        </w:tc>
      </w:tr>
      <w:tr w14:paraId="35820D49">
        <w:tblPrEx>
          <w:tblCellMar>
            <w:top w:w="0" w:type="dxa"/>
            <w:left w:w="108" w:type="dxa"/>
            <w:bottom w:w="0" w:type="dxa"/>
            <w:right w:w="108" w:type="dxa"/>
          </w:tblCellMar>
        </w:tblPrEx>
        <w:trPr>
          <w:trHeight w:val="285" w:hRule="atLeast"/>
          <w:jc w:val="center"/>
        </w:trPr>
        <w:tc>
          <w:tcPr>
            <w:tcW w:w="3256" w:type="dxa"/>
            <w:gridSpan w:val="3"/>
            <w:tcBorders>
              <w:top w:val="single" w:color="auto" w:sz="4" w:space="0"/>
              <w:left w:val="single" w:color="auto" w:sz="4" w:space="0"/>
              <w:bottom w:val="single" w:color="auto" w:sz="4" w:space="0"/>
              <w:right w:val="single" w:color="000000" w:sz="4" w:space="0"/>
            </w:tcBorders>
            <w:vAlign w:val="center"/>
          </w:tcPr>
          <w:p w14:paraId="4CE5330D">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重大疾病保障</w:t>
            </w:r>
          </w:p>
        </w:tc>
        <w:tc>
          <w:tcPr>
            <w:tcW w:w="1281" w:type="dxa"/>
            <w:tcBorders>
              <w:top w:val="nil"/>
              <w:left w:val="nil"/>
              <w:bottom w:val="single" w:color="auto" w:sz="4" w:space="0"/>
              <w:right w:val="single" w:color="auto" w:sz="4" w:space="0"/>
            </w:tcBorders>
            <w:vAlign w:val="center"/>
          </w:tcPr>
          <w:p w14:paraId="0FE46B2B">
            <w:pPr>
              <w:widowControl/>
              <w:jc w:val="center"/>
              <w:rPr>
                <w:rFonts w:ascii="楷体" w:hAnsi="楷体" w:eastAsia="楷体" w:cstheme="minorBidi"/>
                <w:szCs w:val="21"/>
              </w:rPr>
            </w:pPr>
            <w:r>
              <w:rPr>
                <w:rFonts w:ascii="楷体" w:hAnsi="楷体" w:eastAsia="楷体" w:cstheme="minorBidi"/>
                <w:szCs w:val="21"/>
              </w:rPr>
              <w:t>1.</w:t>
            </w:r>
            <w:r>
              <w:rPr>
                <w:rFonts w:hint="eastAsia" w:ascii="楷体" w:hAnsi="楷体" w:eastAsia="楷体" w:cstheme="minorBidi"/>
                <w:szCs w:val="21"/>
              </w:rPr>
              <w:t>5万</w:t>
            </w:r>
          </w:p>
        </w:tc>
        <w:tc>
          <w:tcPr>
            <w:tcW w:w="2410" w:type="dxa"/>
            <w:tcBorders>
              <w:top w:val="nil"/>
              <w:left w:val="nil"/>
              <w:bottom w:val="single" w:color="auto" w:sz="4" w:space="0"/>
              <w:right w:val="single" w:color="auto" w:sz="4" w:space="0"/>
            </w:tcBorders>
            <w:vAlign w:val="center"/>
          </w:tcPr>
          <w:p w14:paraId="48F0043F">
            <w:pPr>
              <w:widowControl/>
              <w:jc w:val="center"/>
              <w:rPr>
                <w:rFonts w:ascii="楷体" w:hAnsi="楷体" w:eastAsia="楷体" w:cstheme="minorBidi"/>
                <w:szCs w:val="21"/>
              </w:rPr>
            </w:pPr>
            <w:r>
              <w:rPr>
                <w:rFonts w:hint="eastAsia" w:ascii="楷体" w:hAnsi="楷体" w:eastAsia="楷体" w:cstheme="minorBidi"/>
                <w:szCs w:val="21"/>
              </w:rPr>
              <w:t>/</w:t>
            </w:r>
          </w:p>
        </w:tc>
        <w:tc>
          <w:tcPr>
            <w:tcW w:w="2693" w:type="dxa"/>
            <w:tcBorders>
              <w:top w:val="nil"/>
              <w:left w:val="nil"/>
              <w:bottom w:val="single" w:color="auto" w:sz="4" w:space="0"/>
              <w:right w:val="single" w:color="auto" w:sz="4" w:space="0"/>
            </w:tcBorders>
            <w:vAlign w:val="center"/>
          </w:tcPr>
          <w:p w14:paraId="3ADFC47F">
            <w:pPr>
              <w:jc w:val="center"/>
              <w:rPr>
                <w:rFonts w:ascii="楷体" w:hAnsi="楷体" w:eastAsia="楷体" w:cs="宋体"/>
                <w:color w:val="000000"/>
                <w:kern w:val="0"/>
                <w:szCs w:val="21"/>
              </w:rPr>
            </w:pPr>
            <w:r>
              <w:rPr>
                <w:rFonts w:hint="eastAsia" w:ascii="楷体" w:hAnsi="楷体" w:eastAsia="楷体" w:cs="宋体"/>
                <w:color w:val="000000"/>
                <w:kern w:val="0"/>
                <w:szCs w:val="21"/>
              </w:rPr>
              <w:t>33种重大疾病</w:t>
            </w:r>
          </w:p>
        </w:tc>
      </w:tr>
      <w:tr w14:paraId="630ED028">
        <w:tblPrEx>
          <w:tblCellMar>
            <w:top w:w="0" w:type="dxa"/>
            <w:left w:w="108" w:type="dxa"/>
            <w:bottom w:w="0" w:type="dxa"/>
            <w:right w:w="108" w:type="dxa"/>
          </w:tblCellMar>
        </w:tblPrEx>
        <w:trPr>
          <w:trHeight w:val="285" w:hRule="atLeast"/>
          <w:jc w:val="center"/>
        </w:trPr>
        <w:tc>
          <w:tcPr>
            <w:tcW w:w="1521" w:type="dxa"/>
            <w:vMerge w:val="restart"/>
            <w:tcBorders>
              <w:top w:val="single" w:color="auto" w:sz="4" w:space="0"/>
              <w:left w:val="single" w:color="auto" w:sz="4" w:space="0"/>
              <w:right w:val="single" w:color="auto" w:sz="4" w:space="0"/>
            </w:tcBorders>
            <w:vAlign w:val="center"/>
          </w:tcPr>
          <w:p w14:paraId="52D655FA">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交通意外伤害保障</w:t>
            </w:r>
          </w:p>
        </w:tc>
        <w:tc>
          <w:tcPr>
            <w:tcW w:w="1735" w:type="dxa"/>
            <w:gridSpan w:val="2"/>
            <w:tcBorders>
              <w:top w:val="single" w:color="auto" w:sz="4" w:space="0"/>
              <w:left w:val="single" w:color="auto" w:sz="4" w:space="0"/>
              <w:bottom w:val="single" w:color="auto" w:sz="4" w:space="0"/>
              <w:right w:val="single" w:color="auto" w:sz="4" w:space="0"/>
            </w:tcBorders>
            <w:vAlign w:val="center"/>
          </w:tcPr>
          <w:p w14:paraId="08F3ADAD">
            <w:pPr>
              <w:widowControl/>
              <w:jc w:val="center"/>
              <w:rPr>
                <w:rFonts w:ascii="楷体" w:hAnsi="楷体" w:eastAsia="楷体" w:cs="宋体"/>
                <w:color w:val="000000"/>
                <w:kern w:val="0"/>
                <w:szCs w:val="21"/>
              </w:rPr>
            </w:pPr>
            <w:r>
              <w:rPr>
                <w:rFonts w:hint="eastAsia" w:ascii="楷体" w:hAnsi="楷体" w:eastAsia="楷体" w:cstheme="minorBidi"/>
                <w:szCs w:val="21"/>
              </w:rPr>
              <w:t>民航班机</w:t>
            </w:r>
          </w:p>
        </w:tc>
        <w:tc>
          <w:tcPr>
            <w:tcW w:w="1281" w:type="dxa"/>
            <w:tcBorders>
              <w:top w:val="nil"/>
              <w:left w:val="single" w:color="auto" w:sz="4" w:space="0"/>
              <w:bottom w:val="single" w:color="auto" w:sz="4" w:space="0"/>
              <w:right w:val="single" w:color="auto" w:sz="4" w:space="0"/>
            </w:tcBorders>
            <w:vAlign w:val="center"/>
          </w:tcPr>
          <w:p w14:paraId="075A6CBD">
            <w:pPr>
              <w:widowControl/>
              <w:jc w:val="center"/>
              <w:rPr>
                <w:rFonts w:ascii="楷体" w:hAnsi="楷体" w:eastAsia="楷体" w:cstheme="minorBidi"/>
                <w:szCs w:val="21"/>
              </w:rPr>
            </w:pPr>
            <w:r>
              <w:rPr>
                <w:rFonts w:hint="eastAsia" w:ascii="楷体" w:hAnsi="楷体" w:eastAsia="楷体" w:cstheme="minorBidi"/>
                <w:szCs w:val="21"/>
              </w:rPr>
              <w:t>20万</w:t>
            </w:r>
          </w:p>
        </w:tc>
        <w:tc>
          <w:tcPr>
            <w:tcW w:w="2410" w:type="dxa"/>
            <w:vMerge w:val="restart"/>
            <w:tcBorders>
              <w:top w:val="nil"/>
              <w:left w:val="nil"/>
              <w:right w:val="single" w:color="auto" w:sz="4" w:space="0"/>
            </w:tcBorders>
            <w:vAlign w:val="center"/>
          </w:tcPr>
          <w:p w14:paraId="330A4C8D">
            <w:pPr>
              <w:widowControl/>
              <w:jc w:val="center"/>
              <w:rPr>
                <w:rFonts w:ascii="楷体" w:hAnsi="楷体" w:eastAsia="楷体" w:cstheme="minorBidi"/>
                <w:szCs w:val="21"/>
              </w:rPr>
            </w:pPr>
            <w:r>
              <w:rPr>
                <w:rFonts w:hint="eastAsia" w:ascii="楷体" w:hAnsi="楷体" w:eastAsia="楷体" w:cstheme="minorBidi"/>
                <w:szCs w:val="21"/>
              </w:rPr>
              <w:t>/</w:t>
            </w:r>
          </w:p>
        </w:tc>
        <w:tc>
          <w:tcPr>
            <w:tcW w:w="2693" w:type="dxa"/>
            <w:vMerge w:val="restart"/>
            <w:tcBorders>
              <w:top w:val="nil"/>
              <w:left w:val="nil"/>
              <w:right w:val="single" w:color="auto" w:sz="4" w:space="0"/>
            </w:tcBorders>
            <w:vAlign w:val="center"/>
          </w:tcPr>
          <w:p w14:paraId="2D279869">
            <w:pPr>
              <w:jc w:val="center"/>
              <w:rPr>
                <w:rFonts w:ascii="楷体" w:hAnsi="楷体" w:eastAsia="楷体" w:cs="宋体"/>
                <w:color w:val="000000"/>
                <w:kern w:val="0"/>
                <w:szCs w:val="21"/>
              </w:rPr>
            </w:pPr>
            <w:r>
              <w:rPr>
                <w:rFonts w:hint="eastAsia" w:ascii="楷体" w:hAnsi="楷体" w:eastAsia="楷体" w:cs="宋体"/>
                <w:color w:val="000000"/>
                <w:kern w:val="0"/>
                <w:szCs w:val="21"/>
              </w:rPr>
              <w:t>残疾等级按新行标执行，残疾赔付比例按条款执行。《人身保险伤残评定标准》（新残标）</w:t>
            </w:r>
          </w:p>
        </w:tc>
      </w:tr>
      <w:tr w14:paraId="22334B97">
        <w:tblPrEx>
          <w:tblCellMar>
            <w:top w:w="0" w:type="dxa"/>
            <w:left w:w="108" w:type="dxa"/>
            <w:bottom w:w="0" w:type="dxa"/>
            <w:right w:w="108" w:type="dxa"/>
          </w:tblCellMar>
        </w:tblPrEx>
        <w:trPr>
          <w:trHeight w:val="285" w:hRule="atLeast"/>
          <w:jc w:val="center"/>
        </w:trPr>
        <w:tc>
          <w:tcPr>
            <w:tcW w:w="1521" w:type="dxa"/>
            <w:vMerge w:val="continue"/>
            <w:tcBorders>
              <w:left w:val="single" w:color="auto" w:sz="4" w:space="0"/>
              <w:right w:val="single" w:color="auto" w:sz="4" w:space="0"/>
            </w:tcBorders>
            <w:vAlign w:val="center"/>
          </w:tcPr>
          <w:p w14:paraId="6C7CCF78">
            <w:pPr>
              <w:widowControl/>
              <w:jc w:val="center"/>
              <w:rPr>
                <w:rFonts w:ascii="楷体" w:hAnsi="楷体" w:eastAsia="楷体" w:cs="宋体"/>
                <w:color w:val="000000"/>
                <w:kern w:val="0"/>
                <w:szCs w:val="21"/>
              </w:rPr>
            </w:pPr>
          </w:p>
        </w:tc>
        <w:tc>
          <w:tcPr>
            <w:tcW w:w="1735" w:type="dxa"/>
            <w:gridSpan w:val="2"/>
            <w:tcBorders>
              <w:top w:val="single" w:color="auto" w:sz="4" w:space="0"/>
              <w:left w:val="single" w:color="auto" w:sz="4" w:space="0"/>
              <w:bottom w:val="single" w:color="auto" w:sz="4" w:space="0"/>
              <w:right w:val="single" w:color="auto" w:sz="4" w:space="0"/>
            </w:tcBorders>
            <w:vAlign w:val="center"/>
          </w:tcPr>
          <w:p w14:paraId="4A546A78">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列车或轮船</w:t>
            </w:r>
          </w:p>
        </w:tc>
        <w:tc>
          <w:tcPr>
            <w:tcW w:w="1281" w:type="dxa"/>
            <w:tcBorders>
              <w:top w:val="nil"/>
              <w:left w:val="single" w:color="auto" w:sz="4" w:space="0"/>
              <w:bottom w:val="single" w:color="auto" w:sz="4" w:space="0"/>
              <w:right w:val="single" w:color="auto" w:sz="4" w:space="0"/>
            </w:tcBorders>
            <w:vAlign w:val="center"/>
          </w:tcPr>
          <w:p w14:paraId="23855291">
            <w:pPr>
              <w:widowControl/>
              <w:jc w:val="center"/>
              <w:rPr>
                <w:rFonts w:ascii="楷体" w:hAnsi="楷体" w:eastAsia="楷体" w:cstheme="minorBidi"/>
                <w:szCs w:val="21"/>
              </w:rPr>
            </w:pPr>
            <w:r>
              <w:rPr>
                <w:rFonts w:hint="eastAsia" w:ascii="楷体" w:hAnsi="楷体" w:eastAsia="楷体" w:cstheme="minorBidi"/>
                <w:szCs w:val="21"/>
              </w:rPr>
              <w:t>10万</w:t>
            </w:r>
          </w:p>
        </w:tc>
        <w:tc>
          <w:tcPr>
            <w:tcW w:w="2410" w:type="dxa"/>
            <w:vMerge w:val="continue"/>
            <w:tcBorders>
              <w:left w:val="nil"/>
              <w:right w:val="single" w:color="auto" w:sz="4" w:space="0"/>
            </w:tcBorders>
            <w:vAlign w:val="center"/>
          </w:tcPr>
          <w:p w14:paraId="4CBD3767">
            <w:pPr>
              <w:widowControl/>
              <w:jc w:val="center"/>
              <w:rPr>
                <w:rFonts w:ascii="楷体" w:hAnsi="楷体" w:eastAsia="楷体" w:cstheme="minorBidi"/>
                <w:szCs w:val="21"/>
              </w:rPr>
            </w:pPr>
          </w:p>
        </w:tc>
        <w:tc>
          <w:tcPr>
            <w:tcW w:w="2693" w:type="dxa"/>
            <w:vMerge w:val="continue"/>
            <w:tcBorders>
              <w:left w:val="nil"/>
              <w:right w:val="single" w:color="auto" w:sz="4" w:space="0"/>
            </w:tcBorders>
            <w:vAlign w:val="center"/>
          </w:tcPr>
          <w:p w14:paraId="12034323">
            <w:pPr>
              <w:jc w:val="center"/>
              <w:rPr>
                <w:rFonts w:ascii="楷体" w:hAnsi="楷体" w:eastAsia="楷体" w:cs="宋体"/>
                <w:color w:val="000000"/>
                <w:kern w:val="0"/>
                <w:szCs w:val="21"/>
              </w:rPr>
            </w:pPr>
          </w:p>
        </w:tc>
      </w:tr>
      <w:tr w14:paraId="01624B00">
        <w:tblPrEx>
          <w:tblCellMar>
            <w:top w:w="0" w:type="dxa"/>
            <w:left w:w="108" w:type="dxa"/>
            <w:bottom w:w="0" w:type="dxa"/>
            <w:right w:w="108" w:type="dxa"/>
          </w:tblCellMar>
        </w:tblPrEx>
        <w:trPr>
          <w:trHeight w:val="285" w:hRule="atLeast"/>
          <w:jc w:val="center"/>
        </w:trPr>
        <w:tc>
          <w:tcPr>
            <w:tcW w:w="1521" w:type="dxa"/>
            <w:vMerge w:val="continue"/>
            <w:tcBorders>
              <w:left w:val="single" w:color="auto" w:sz="4" w:space="0"/>
              <w:right w:val="single" w:color="auto" w:sz="4" w:space="0"/>
            </w:tcBorders>
            <w:vAlign w:val="center"/>
          </w:tcPr>
          <w:p w14:paraId="0D04334D">
            <w:pPr>
              <w:widowControl/>
              <w:jc w:val="center"/>
              <w:rPr>
                <w:rFonts w:ascii="楷体" w:hAnsi="楷体" w:eastAsia="楷体" w:cs="宋体"/>
                <w:color w:val="000000"/>
                <w:kern w:val="0"/>
                <w:szCs w:val="21"/>
              </w:rPr>
            </w:pPr>
          </w:p>
        </w:tc>
        <w:tc>
          <w:tcPr>
            <w:tcW w:w="1735" w:type="dxa"/>
            <w:gridSpan w:val="2"/>
            <w:tcBorders>
              <w:top w:val="single" w:color="auto" w:sz="4" w:space="0"/>
              <w:left w:val="single" w:color="auto" w:sz="4" w:space="0"/>
              <w:bottom w:val="single" w:color="auto" w:sz="4" w:space="0"/>
              <w:right w:val="single" w:color="auto" w:sz="4" w:space="0"/>
            </w:tcBorders>
            <w:vAlign w:val="center"/>
          </w:tcPr>
          <w:p w14:paraId="13BB4CE3">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乘坐营运汽车</w:t>
            </w:r>
          </w:p>
        </w:tc>
        <w:tc>
          <w:tcPr>
            <w:tcW w:w="1281" w:type="dxa"/>
            <w:tcBorders>
              <w:top w:val="nil"/>
              <w:left w:val="single" w:color="auto" w:sz="4" w:space="0"/>
              <w:bottom w:val="single" w:color="auto" w:sz="4" w:space="0"/>
              <w:right w:val="single" w:color="auto" w:sz="4" w:space="0"/>
            </w:tcBorders>
            <w:vAlign w:val="center"/>
          </w:tcPr>
          <w:p w14:paraId="13816122">
            <w:pPr>
              <w:widowControl/>
              <w:jc w:val="center"/>
              <w:rPr>
                <w:rFonts w:ascii="楷体" w:hAnsi="楷体" w:eastAsia="楷体" w:cstheme="minorBidi"/>
                <w:szCs w:val="21"/>
              </w:rPr>
            </w:pPr>
            <w:r>
              <w:rPr>
                <w:rFonts w:hint="eastAsia" w:ascii="楷体" w:hAnsi="楷体" w:eastAsia="楷体" w:cstheme="minorBidi"/>
                <w:szCs w:val="21"/>
              </w:rPr>
              <w:t>10万</w:t>
            </w:r>
          </w:p>
        </w:tc>
        <w:tc>
          <w:tcPr>
            <w:tcW w:w="2410" w:type="dxa"/>
            <w:vMerge w:val="continue"/>
            <w:tcBorders>
              <w:left w:val="nil"/>
              <w:right w:val="single" w:color="auto" w:sz="4" w:space="0"/>
            </w:tcBorders>
            <w:vAlign w:val="center"/>
          </w:tcPr>
          <w:p w14:paraId="6577FF76">
            <w:pPr>
              <w:widowControl/>
              <w:jc w:val="center"/>
              <w:rPr>
                <w:rFonts w:ascii="楷体" w:hAnsi="楷体" w:eastAsia="楷体" w:cstheme="minorBidi"/>
                <w:szCs w:val="21"/>
              </w:rPr>
            </w:pPr>
          </w:p>
        </w:tc>
        <w:tc>
          <w:tcPr>
            <w:tcW w:w="2693" w:type="dxa"/>
            <w:vMerge w:val="continue"/>
            <w:tcBorders>
              <w:left w:val="nil"/>
              <w:right w:val="single" w:color="auto" w:sz="4" w:space="0"/>
            </w:tcBorders>
            <w:vAlign w:val="center"/>
          </w:tcPr>
          <w:p w14:paraId="47902EDA">
            <w:pPr>
              <w:jc w:val="center"/>
              <w:rPr>
                <w:rFonts w:ascii="楷体" w:hAnsi="楷体" w:eastAsia="楷体" w:cs="宋体"/>
                <w:color w:val="000000"/>
                <w:kern w:val="0"/>
                <w:szCs w:val="21"/>
              </w:rPr>
            </w:pPr>
          </w:p>
        </w:tc>
      </w:tr>
      <w:tr w14:paraId="0E17B182">
        <w:tblPrEx>
          <w:tblCellMar>
            <w:top w:w="0" w:type="dxa"/>
            <w:left w:w="108" w:type="dxa"/>
            <w:bottom w:w="0" w:type="dxa"/>
            <w:right w:w="108" w:type="dxa"/>
          </w:tblCellMar>
        </w:tblPrEx>
        <w:trPr>
          <w:trHeight w:val="285" w:hRule="atLeast"/>
          <w:jc w:val="center"/>
        </w:trPr>
        <w:tc>
          <w:tcPr>
            <w:tcW w:w="1521" w:type="dxa"/>
            <w:vMerge w:val="continue"/>
            <w:tcBorders>
              <w:left w:val="single" w:color="auto" w:sz="4" w:space="0"/>
              <w:bottom w:val="single" w:color="auto" w:sz="4" w:space="0"/>
              <w:right w:val="single" w:color="auto" w:sz="4" w:space="0"/>
            </w:tcBorders>
            <w:vAlign w:val="center"/>
          </w:tcPr>
          <w:p w14:paraId="603DAED5">
            <w:pPr>
              <w:widowControl/>
              <w:jc w:val="center"/>
              <w:rPr>
                <w:rFonts w:ascii="楷体" w:hAnsi="楷体" w:eastAsia="楷体" w:cs="宋体"/>
                <w:color w:val="000000"/>
                <w:kern w:val="0"/>
                <w:szCs w:val="21"/>
              </w:rPr>
            </w:pPr>
          </w:p>
        </w:tc>
        <w:tc>
          <w:tcPr>
            <w:tcW w:w="1735" w:type="dxa"/>
            <w:gridSpan w:val="2"/>
            <w:tcBorders>
              <w:top w:val="single" w:color="auto" w:sz="4" w:space="0"/>
              <w:left w:val="single" w:color="auto" w:sz="4" w:space="0"/>
              <w:bottom w:val="single" w:color="auto" w:sz="4" w:space="0"/>
              <w:right w:val="single" w:color="auto" w:sz="4" w:space="0"/>
            </w:tcBorders>
            <w:vAlign w:val="center"/>
          </w:tcPr>
          <w:p w14:paraId="32E3DE65">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驾驶非营运汽车</w:t>
            </w:r>
          </w:p>
        </w:tc>
        <w:tc>
          <w:tcPr>
            <w:tcW w:w="1281" w:type="dxa"/>
            <w:tcBorders>
              <w:top w:val="nil"/>
              <w:left w:val="single" w:color="auto" w:sz="4" w:space="0"/>
              <w:bottom w:val="single" w:color="auto" w:sz="4" w:space="0"/>
              <w:right w:val="single" w:color="auto" w:sz="4" w:space="0"/>
            </w:tcBorders>
            <w:vAlign w:val="center"/>
          </w:tcPr>
          <w:p w14:paraId="6AD7A6A6">
            <w:pPr>
              <w:widowControl/>
              <w:jc w:val="center"/>
              <w:rPr>
                <w:rFonts w:ascii="楷体" w:hAnsi="楷体" w:eastAsia="楷体" w:cstheme="minorBidi"/>
                <w:szCs w:val="21"/>
              </w:rPr>
            </w:pPr>
            <w:r>
              <w:rPr>
                <w:rFonts w:hint="eastAsia" w:ascii="楷体" w:hAnsi="楷体" w:eastAsia="楷体" w:cstheme="minorBidi"/>
                <w:szCs w:val="21"/>
              </w:rPr>
              <w:t>10万</w:t>
            </w:r>
          </w:p>
        </w:tc>
        <w:tc>
          <w:tcPr>
            <w:tcW w:w="2410" w:type="dxa"/>
            <w:vMerge w:val="continue"/>
            <w:tcBorders>
              <w:left w:val="nil"/>
              <w:bottom w:val="single" w:color="auto" w:sz="4" w:space="0"/>
              <w:right w:val="single" w:color="auto" w:sz="4" w:space="0"/>
            </w:tcBorders>
            <w:vAlign w:val="center"/>
          </w:tcPr>
          <w:p w14:paraId="6E213177">
            <w:pPr>
              <w:widowControl/>
              <w:jc w:val="center"/>
              <w:rPr>
                <w:rFonts w:ascii="楷体" w:hAnsi="楷体" w:eastAsia="楷体" w:cstheme="minorBidi"/>
                <w:szCs w:val="21"/>
              </w:rPr>
            </w:pPr>
          </w:p>
        </w:tc>
        <w:tc>
          <w:tcPr>
            <w:tcW w:w="2693" w:type="dxa"/>
            <w:vMerge w:val="continue"/>
            <w:tcBorders>
              <w:left w:val="nil"/>
              <w:bottom w:val="single" w:color="auto" w:sz="4" w:space="0"/>
              <w:right w:val="single" w:color="auto" w:sz="4" w:space="0"/>
            </w:tcBorders>
            <w:vAlign w:val="center"/>
          </w:tcPr>
          <w:p w14:paraId="0A738DE8">
            <w:pPr>
              <w:jc w:val="center"/>
              <w:rPr>
                <w:rFonts w:ascii="楷体" w:hAnsi="楷体" w:eastAsia="楷体" w:cs="宋体"/>
                <w:color w:val="000000"/>
                <w:kern w:val="0"/>
                <w:szCs w:val="21"/>
              </w:rPr>
            </w:pPr>
          </w:p>
        </w:tc>
      </w:tr>
      <w:tr w14:paraId="4EFB8AF6">
        <w:tblPrEx>
          <w:tblCellMar>
            <w:top w:w="0" w:type="dxa"/>
            <w:left w:w="108" w:type="dxa"/>
            <w:bottom w:w="0" w:type="dxa"/>
            <w:right w:w="108" w:type="dxa"/>
          </w:tblCellMar>
        </w:tblPrEx>
        <w:trPr>
          <w:trHeight w:val="855" w:hRule="atLeast"/>
          <w:jc w:val="center"/>
        </w:trPr>
        <w:tc>
          <w:tcPr>
            <w:tcW w:w="3256" w:type="dxa"/>
            <w:gridSpan w:val="3"/>
            <w:tcBorders>
              <w:top w:val="single" w:color="auto" w:sz="4" w:space="0"/>
              <w:left w:val="single" w:color="auto" w:sz="4" w:space="0"/>
              <w:bottom w:val="single" w:color="auto" w:sz="4" w:space="0"/>
              <w:right w:val="single" w:color="000000" w:sz="4" w:space="0"/>
            </w:tcBorders>
            <w:vAlign w:val="center"/>
          </w:tcPr>
          <w:p w14:paraId="79C8108C">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意外医疗保障</w:t>
            </w:r>
          </w:p>
        </w:tc>
        <w:tc>
          <w:tcPr>
            <w:tcW w:w="1281" w:type="dxa"/>
            <w:tcBorders>
              <w:top w:val="nil"/>
              <w:left w:val="nil"/>
              <w:bottom w:val="single" w:color="auto" w:sz="4" w:space="0"/>
              <w:right w:val="single" w:color="auto" w:sz="4" w:space="0"/>
            </w:tcBorders>
            <w:vAlign w:val="center"/>
          </w:tcPr>
          <w:p w14:paraId="0B2FC479">
            <w:pPr>
              <w:widowControl/>
              <w:jc w:val="center"/>
              <w:rPr>
                <w:rFonts w:ascii="楷体" w:hAnsi="楷体" w:eastAsia="楷体" w:cstheme="minorBidi"/>
                <w:szCs w:val="21"/>
              </w:rPr>
            </w:pPr>
            <w:r>
              <w:rPr>
                <w:rFonts w:hint="eastAsia" w:ascii="楷体" w:hAnsi="楷体" w:eastAsia="楷体" w:cstheme="minorBidi"/>
                <w:szCs w:val="21"/>
              </w:rPr>
              <w:t>2000</w:t>
            </w:r>
          </w:p>
        </w:tc>
        <w:tc>
          <w:tcPr>
            <w:tcW w:w="2410" w:type="dxa"/>
            <w:tcBorders>
              <w:top w:val="nil"/>
              <w:left w:val="nil"/>
              <w:bottom w:val="single" w:color="auto" w:sz="4" w:space="0"/>
              <w:right w:val="single" w:color="auto" w:sz="4" w:space="0"/>
            </w:tcBorders>
            <w:vAlign w:val="center"/>
          </w:tcPr>
          <w:p w14:paraId="429101F1">
            <w:pPr>
              <w:widowControl/>
              <w:jc w:val="center"/>
              <w:rPr>
                <w:rFonts w:ascii="楷体" w:hAnsi="楷体" w:eastAsia="楷体" w:cs="宋体"/>
                <w:b/>
                <w:color w:val="000000"/>
                <w:kern w:val="0"/>
                <w:szCs w:val="21"/>
              </w:rPr>
            </w:pPr>
            <w:r>
              <w:rPr>
                <w:rFonts w:hint="eastAsia" w:ascii="楷体" w:hAnsi="楷体" w:eastAsia="楷体" w:cs="宋体"/>
                <w:b/>
                <w:color w:val="000000"/>
                <w:kern w:val="0"/>
                <w:szCs w:val="21"/>
              </w:rPr>
              <w:t>仅承担社保范围内费用（不包含当地社会基本医疗保险主管部门规定部分自费及全额自费的诊疗项目费用与药品费用），社保先行赔付，对于剩余部分，无免赔额，</w:t>
            </w:r>
            <w:r>
              <w:rPr>
                <w:rFonts w:hint="eastAsia" w:ascii="楷体" w:hAnsi="楷体" w:eastAsia="楷体" w:cs="宋体"/>
                <w:color w:val="000000"/>
                <w:kern w:val="0"/>
                <w:szCs w:val="21"/>
              </w:rPr>
              <w:t>按</w:t>
            </w:r>
            <w:r>
              <w:rPr>
                <w:rFonts w:ascii="楷体" w:hAnsi="楷体" w:eastAsia="楷体" w:cs="宋体"/>
                <w:color w:val="000000"/>
                <w:kern w:val="0"/>
                <w:szCs w:val="21"/>
              </w:rPr>
              <w:t>10</w:t>
            </w:r>
            <w:r>
              <w:rPr>
                <w:rFonts w:hint="eastAsia" w:ascii="楷体" w:hAnsi="楷体" w:eastAsia="楷体" w:cs="宋体"/>
                <w:color w:val="000000"/>
                <w:kern w:val="0"/>
                <w:szCs w:val="21"/>
              </w:rPr>
              <w:t>0%赔付。</w:t>
            </w:r>
          </w:p>
        </w:tc>
        <w:tc>
          <w:tcPr>
            <w:tcW w:w="2693" w:type="dxa"/>
            <w:tcBorders>
              <w:top w:val="nil"/>
              <w:left w:val="nil"/>
              <w:bottom w:val="single" w:color="auto" w:sz="4" w:space="0"/>
              <w:right w:val="single" w:color="auto" w:sz="4" w:space="0"/>
            </w:tcBorders>
            <w:vAlign w:val="center"/>
          </w:tcPr>
          <w:p w14:paraId="500445EE">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w:t>
            </w:r>
          </w:p>
        </w:tc>
      </w:tr>
      <w:tr w14:paraId="490647AA">
        <w:tblPrEx>
          <w:tblCellMar>
            <w:top w:w="0" w:type="dxa"/>
            <w:left w:w="108" w:type="dxa"/>
            <w:bottom w:w="0" w:type="dxa"/>
            <w:right w:w="108" w:type="dxa"/>
          </w:tblCellMar>
        </w:tblPrEx>
        <w:trPr>
          <w:trHeight w:val="855" w:hRule="atLeast"/>
          <w:jc w:val="center"/>
        </w:trPr>
        <w:tc>
          <w:tcPr>
            <w:tcW w:w="3256" w:type="dxa"/>
            <w:gridSpan w:val="3"/>
            <w:tcBorders>
              <w:top w:val="single" w:color="auto" w:sz="4" w:space="0"/>
              <w:left w:val="single" w:color="auto" w:sz="4" w:space="0"/>
              <w:bottom w:val="single" w:color="auto" w:sz="4" w:space="0"/>
              <w:right w:val="single" w:color="000000" w:sz="4" w:space="0"/>
            </w:tcBorders>
            <w:vAlign w:val="center"/>
          </w:tcPr>
          <w:p w14:paraId="74DD3BBD">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住院医疗保障</w:t>
            </w:r>
          </w:p>
        </w:tc>
        <w:tc>
          <w:tcPr>
            <w:tcW w:w="1281" w:type="dxa"/>
            <w:tcBorders>
              <w:top w:val="nil"/>
              <w:left w:val="nil"/>
              <w:bottom w:val="single" w:color="auto" w:sz="4" w:space="0"/>
              <w:right w:val="single" w:color="auto" w:sz="4" w:space="0"/>
            </w:tcBorders>
            <w:vAlign w:val="center"/>
          </w:tcPr>
          <w:p w14:paraId="6649C5D5">
            <w:pPr>
              <w:widowControl/>
              <w:jc w:val="center"/>
              <w:rPr>
                <w:rFonts w:ascii="楷体" w:hAnsi="楷体" w:eastAsia="楷体" w:cstheme="minorBidi"/>
                <w:szCs w:val="21"/>
              </w:rPr>
            </w:pPr>
            <w:r>
              <w:rPr>
                <w:rFonts w:hint="eastAsia" w:ascii="楷体" w:hAnsi="楷体" w:eastAsia="楷体" w:cstheme="minorBidi"/>
                <w:szCs w:val="21"/>
              </w:rPr>
              <w:t>2600</w:t>
            </w:r>
          </w:p>
        </w:tc>
        <w:tc>
          <w:tcPr>
            <w:tcW w:w="2410" w:type="dxa"/>
            <w:tcBorders>
              <w:top w:val="nil"/>
              <w:left w:val="nil"/>
              <w:bottom w:val="single" w:color="auto" w:sz="4" w:space="0"/>
              <w:right w:val="single" w:color="auto" w:sz="4" w:space="0"/>
            </w:tcBorders>
            <w:vAlign w:val="center"/>
          </w:tcPr>
          <w:p w14:paraId="3737661B">
            <w:pPr>
              <w:widowControl/>
              <w:jc w:val="center"/>
              <w:rPr>
                <w:rFonts w:ascii="楷体" w:hAnsi="楷体" w:eastAsia="楷体" w:cs="宋体"/>
                <w:color w:val="000000"/>
                <w:kern w:val="0"/>
                <w:szCs w:val="21"/>
              </w:rPr>
            </w:pPr>
            <w:r>
              <w:rPr>
                <w:rFonts w:hint="eastAsia" w:ascii="楷体" w:hAnsi="楷体" w:eastAsia="楷体" w:cs="宋体"/>
                <w:b/>
                <w:color w:val="000000"/>
                <w:kern w:val="0"/>
                <w:szCs w:val="21"/>
              </w:rPr>
              <w:t>仅承担社保范围内费用（不包含当地社会基本医疗保险主管部门规定部分自费及全额自费的诊疗项目费用与药品费用），社保先行赔付，对于剩余部分，无免赔额，</w:t>
            </w:r>
            <w:r>
              <w:rPr>
                <w:rFonts w:hint="eastAsia" w:ascii="楷体" w:hAnsi="楷体" w:eastAsia="楷体" w:cs="宋体"/>
                <w:color w:val="000000"/>
                <w:kern w:val="0"/>
                <w:szCs w:val="21"/>
              </w:rPr>
              <w:t>按70%赔付。</w:t>
            </w:r>
          </w:p>
        </w:tc>
        <w:tc>
          <w:tcPr>
            <w:tcW w:w="2693" w:type="dxa"/>
            <w:tcBorders>
              <w:top w:val="nil"/>
              <w:left w:val="nil"/>
              <w:bottom w:val="single" w:color="auto" w:sz="4" w:space="0"/>
              <w:right w:val="single" w:color="auto" w:sz="4" w:space="0"/>
            </w:tcBorders>
            <w:vAlign w:val="center"/>
          </w:tcPr>
          <w:p w14:paraId="6354D899">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承担中医理疗、中草药以及皮肤科等所产生合理的医疗费用；住院责任具体理赔规则详见（三）其他特别约定第</w:t>
            </w:r>
            <w:r>
              <w:rPr>
                <w:rFonts w:ascii="楷体" w:hAnsi="楷体" w:eastAsia="楷体" w:cs="宋体"/>
                <w:color w:val="000000"/>
                <w:kern w:val="0"/>
                <w:szCs w:val="21"/>
              </w:rPr>
              <w:t>9</w:t>
            </w:r>
            <w:r>
              <w:rPr>
                <w:rFonts w:hint="eastAsia" w:ascii="楷体" w:hAnsi="楷体" w:eastAsia="楷体" w:cs="宋体"/>
                <w:color w:val="000000"/>
                <w:kern w:val="0"/>
                <w:szCs w:val="21"/>
              </w:rPr>
              <w:t>条</w:t>
            </w:r>
          </w:p>
        </w:tc>
      </w:tr>
      <w:tr w14:paraId="3210BBB3">
        <w:tblPrEx>
          <w:tblCellMar>
            <w:top w:w="0" w:type="dxa"/>
            <w:left w:w="108" w:type="dxa"/>
            <w:bottom w:w="0" w:type="dxa"/>
            <w:right w:w="108" w:type="dxa"/>
          </w:tblCellMar>
        </w:tblPrEx>
        <w:trPr>
          <w:trHeight w:val="855" w:hRule="atLeast"/>
          <w:jc w:val="center"/>
        </w:trPr>
        <w:tc>
          <w:tcPr>
            <w:tcW w:w="3256" w:type="dxa"/>
            <w:gridSpan w:val="3"/>
            <w:tcBorders>
              <w:top w:val="single" w:color="auto" w:sz="4" w:space="0"/>
              <w:left w:val="single" w:color="auto" w:sz="4" w:space="0"/>
              <w:bottom w:val="single" w:color="auto" w:sz="4" w:space="0"/>
              <w:right w:val="single" w:color="000000" w:sz="4" w:space="0"/>
            </w:tcBorders>
            <w:vAlign w:val="center"/>
          </w:tcPr>
          <w:p w14:paraId="40BCD79C">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门、急诊医疗保障</w:t>
            </w:r>
          </w:p>
          <w:p w14:paraId="10F815AF">
            <w:pPr>
              <w:widowControl/>
              <w:jc w:val="center"/>
              <w:rPr>
                <w:rFonts w:ascii="楷体" w:hAnsi="楷体" w:eastAsia="楷体" w:cs="宋体"/>
                <w:color w:val="000000"/>
                <w:kern w:val="0"/>
                <w:szCs w:val="21"/>
              </w:rPr>
            </w:pPr>
            <w:r>
              <w:rPr>
                <w:rFonts w:hint="eastAsia" w:ascii="楷体" w:hAnsi="楷体" w:eastAsia="楷体" w:cs="宋体"/>
                <w:color w:val="000000"/>
                <w:kern w:val="0"/>
                <w:sz w:val="22"/>
                <w:szCs w:val="22"/>
              </w:rPr>
              <w:t>（拓展治疗性齿科责任，</w:t>
            </w:r>
            <w:r>
              <w:rPr>
                <w:rFonts w:hint="eastAsia" w:ascii="楷体" w:hAnsi="楷体" w:eastAsia="楷体" w:cs="宋体"/>
                <w:b/>
                <w:bCs/>
                <w:color w:val="000000"/>
                <w:kern w:val="0"/>
                <w:sz w:val="22"/>
                <w:szCs w:val="22"/>
              </w:rPr>
              <w:t>不涵盖治疗性洁牙</w:t>
            </w:r>
            <w:r>
              <w:rPr>
                <w:rFonts w:hint="eastAsia" w:ascii="楷体" w:hAnsi="楷体" w:eastAsia="楷体" w:cs="宋体"/>
                <w:b/>
                <w:bCs/>
                <w:color w:val="000000"/>
                <w:kern w:val="0"/>
                <w:sz w:val="22"/>
                <w:szCs w:val="22"/>
                <w:highlight w:val="yellow"/>
              </w:rPr>
              <w:t>和</w:t>
            </w:r>
            <w:r>
              <w:rPr>
                <w:rFonts w:hint="eastAsia" w:ascii="楷体" w:hAnsi="楷体" w:eastAsia="楷体" w:cs="宋体"/>
                <w:b/>
                <w:bCs/>
                <w:color w:val="000000"/>
                <w:kern w:val="0"/>
                <w:sz w:val="22"/>
                <w:szCs w:val="22"/>
              </w:rPr>
              <w:t>阻生齿治疗</w:t>
            </w:r>
            <w:r>
              <w:rPr>
                <w:rFonts w:hint="eastAsia" w:ascii="楷体" w:hAnsi="楷体" w:eastAsia="楷体" w:cs="宋体"/>
                <w:color w:val="000000"/>
                <w:kern w:val="0"/>
                <w:sz w:val="22"/>
                <w:szCs w:val="22"/>
              </w:rPr>
              <w:t>）</w:t>
            </w:r>
          </w:p>
        </w:tc>
        <w:tc>
          <w:tcPr>
            <w:tcW w:w="1281" w:type="dxa"/>
            <w:tcBorders>
              <w:top w:val="nil"/>
              <w:left w:val="nil"/>
              <w:bottom w:val="single" w:color="auto" w:sz="4" w:space="0"/>
              <w:right w:val="single" w:color="auto" w:sz="4" w:space="0"/>
            </w:tcBorders>
            <w:vAlign w:val="center"/>
          </w:tcPr>
          <w:p w14:paraId="186494A5">
            <w:pPr>
              <w:widowControl/>
              <w:jc w:val="center"/>
              <w:rPr>
                <w:rFonts w:ascii="楷体" w:hAnsi="楷体" w:eastAsia="楷体" w:cstheme="minorBidi"/>
                <w:szCs w:val="21"/>
              </w:rPr>
            </w:pPr>
            <w:r>
              <w:rPr>
                <w:rFonts w:hint="eastAsia" w:ascii="楷体" w:hAnsi="楷体" w:eastAsia="楷体" w:cstheme="minorBidi"/>
                <w:szCs w:val="21"/>
              </w:rPr>
              <w:t>1400</w:t>
            </w:r>
          </w:p>
        </w:tc>
        <w:tc>
          <w:tcPr>
            <w:tcW w:w="2410" w:type="dxa"/>
            <w:tcBorders>
              <w:top w:val="nil"/>
              <w:left w:val="nil"/>
              <w:bottom w:val="single" w:color="auto" w:sz="4" w:space="0"/>
              <w:right w:val="single" w:color="auto" w:sz="4" w:space="0"/>
            </w:tcBorders>
            <w:vAlign w:val="center"/>
          </w:tcPr>
          <w:p w14:paraId="65A74F03">
            <w:pPr>
              <w:widowControl/>
              <w:jc w:val="center"/>
              <w:rPr>
                <w:rFonts w:ascii="楷体" w:hAnsi="楷体" w:eastAsia="楷体" w:cs="宋体"/>
                <w:b/>
                <w:color w:val="000000"/>
                <w:kern w:val="0"/>
                <w:szCs w:val="21"/>
              </w:rPr>
            </w:pPr>
            <w:r>
              <w:rPr>
                <w:rFonts w:hint="eastAsia" w:ascii="楷体" w:hAnsi="楷体" w:eastAsia="楷体" w:cs="宋体"/>
                <w:b/>
                <w:color w:val="000000"/>
                <w:kern w:val="0"/>
                <w:szCs w:val="21"/>
              </w:rPr>
              <w:t>仅承担社保范围内费用（不包含当地社会基本医疗保险主管部门规定部分自费及全额自费的诊疗项目费用与药品费用），社保先行赔付，对于剩余部分，扣除年免赔额600元后，按70%赔付。</w:t>
            </w:r>
          </w:p>
        </w:tc>
        <w:tc>
          <w:tcPr>
            <w:tcW w:w="2693" w:type="dxa"/>
            <w:tcBorders>
              <w:top w:val="nil"/>
              <w:left w:val="nil"/>
              <w:bottom w:val="single" w:color="auto" w:sz="4" w:space="0"/>
              <w:right w:val="single" w:color="auto" w:sz="4" w:space="0"/>
            </w:tcBorders>
            <w:vAlign w:val="center"/>
          </w:tcPr>
          <w:p w14:paraId="5E8F1475">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承担中医理疗、中草药以及皮肤科等所产生合理的医疗费用。</w:t>
            </w:r>
            <w:r>
              <w:rPr>
                <w:rFonts w:hint="eastAsia" w:ascii="楷体" w:hAnsi="楷体" w:eastAsia="楷体" w:cs="宋体"/>
                <w:b/>
                <w:bCs/>
                <w:color w:val="000000"/>
                <w:kern w:val="0"/>
                <w:szCs w:val="21"/>
              </w:rPr>
              <w:t>门急诊挂号费不在保障责任范围内。</w:t>
            </w:r>
          </w:p>
        </w:tc>
      </w:tr>
      <w:tr w14:paraId="47644462">
        <w:tblPrEx>
          <w:tblCellMar>
            <w:top w:w="0" w:type="dxa"/>
            <w:left w:w="108" w:type="dxa"/>
            <w:bottom w:w="0" w:type="dxa"/>
            <w:right w:w="108" w:type="dxa"/>
          </w:tblCellMar>
        </w:tblPrEx>
        <w:trPr>
          <w:trHeight w:val="474" w:hRule="atLeast"/>
          <w:jc w:val="center"/>
        </w:trPr>
        <w:tc>
          <w:tcPr>
            <w:tcW w:w="1628" w:type="dxa"/>
            <w:gridSpan w:val="2"/>
            <w:vMerge w:val="restart"/>
            <w:tcBorders>
              <w:top w:val="single" w:color="auto" w:sz="4" w:space="0"/>
              <w:left w:val="single" w:color="auto" w:sz="4" w:space="0"/>
              <w:right w:val="single" w:color="000000" w:sz="4" w:space="0"/>
            </w:tcBorders>
            <w:vAlign w:val="center"/>
          </w:tcPr>
          <w:p w14:paraId="2F6E4AF7">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住院津贴保障</w:t>
            </w:r>
          </w:p>
        </w:tc>
        <w:tc>
          <w:tcPr>
            <w:tcW w:w="1628" w:type="dxa"/>
            <w:tcBorders>
              <w:top w:val="single" w:color="auto" w:sz="4" w:space="0"/>
              <w:left w:val="single" w:color="auto" w:sz="4" w:space="0"/>
              <w:bottom w:val="single" w:color="auto" w:sz="4" w:space="0"/>
              <w:right w:val="single" w:color="000000" w:sz="4" w:space="0"/>
            </w:tcBorders>
            <w:vAlign w:val="center"/>
          </w:tcPr>
          <w:p w14:paraId="4FABD259">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意外住院津贴</w:t>
            </w:r>
          </w:p>
        </w:tc>
        <w:tc>
          <w:tcPr>
            <w:tcW w:w="1281" w:type="dxa"/>
            <w:vMerge w:val="restart"/>
            <w:tcBorders>
              <w:top w:val="nil"/>
              <w:left w:val="nil"/>
              <w:right w:val="single" w:color="auto" w:sz="4" w:space="0"/>
            </w:tcBorders>
            <w:vAlign w:val="center"/>
          </w:tcPr>
          <w:p w14:paraId="0DB18CF2">
            <w:pPr>
              <w:widowControl/>
              <w:jc w:val="center"/>
              <w:rPr>
                <w:rFonts w:ascii="楷体" w:hAnsi="楷体" w:eastAsia="楷体" w:cstheme="minorBidi"/>
                <w:szCs w:val="21"/>
              </w:rPr>
            </w:pPr>
            <w:r>
              <w:rPr>
                <w:rFonts w:hint="eastAsia" w:ascii="楷体" w:hAnsi="楷体" w:eastAsia="楷体" w:cstheme="minorBidi"/>
                <w:szCs w:val="21"/>
              </w:rPr>
              <w:t>5</w:t>
            </w:r>
            <w:r>
              <w:rPr>
                <w:rFonts w:ascii="楷体" w:hAnsi="楷体" w:eastAsia="楷体" w:cstheme="minorBidi"/>
                <w:szCs w:val="21"/>
              </w:rPr>
              <w:t>0</w:t>
            </w:r>
            <w:r>
              <w:rPr>
                <w:rFonts w:hint="eastAsia" w:ascii="楷体" w:hAnsi="楷体" w:eastAsia="楷体" w:cstheme="minorBidi"/>
                <w:szCs w:val="21"/>
              </w:rPr>
              <w:t>元</w:t>
            </w:r>
            <w:r>
              <w:rPr>
                <w:rFonts w:ascii="楷体" w:hAnsi="楷体" w:eastAsia="楷体" w:cstheme="minorBidi"/>
                <w:szCs w:val="21"/>
              </w:rPr>
              <w:t>/</w:t>
            </w:r>
            <w:r>
              <w:rPr>
                <w:rFonts w:hint="eastAsia" w:ascii="楷体" w:hAnsi="楷体" w:eastAsia="楷体" w:cstheme="minorBidi"/>
                <w:szCs w:val="21"/>
              </w:rPr>
              <w:t>天</w:t>
            </w:r>
          </w:p>
        </w:tc>
        <w:tc>
          <w:tcPr>
            <w:tcW w:w="2410" w:type="dxa"/>
            <w:vMerge w:val="restart"/>
            <w:tcBorders>
              <w:top w:val="nil"/>
              <w:left w:val="nil"/>
              <w:right w:val="single" w:color="auto" w:sz="4" w:space="0"/>
            </w:tcBorders>
            <w:vAlign w:val="center"/>
          </w:tcPr>
          <w:p w14:paraId="6F78CB38">
            <w:pPr>
              <w:widowControl/>
              <w:jc w:val="center"/>
              <w:rPr>
                <w:rFonts w:ascii="楷体" w:hAnsi="楷体" w:eastAsia="楷体" w:cs="宋体"/>
                <w:b/>
                <w:color w:val="000000"/>
                <w:kern w:val="0"/>
                <w:szCs w:val="21"/>
              </w:rPr>
            </w:pPr>
            <w:r>
              <w:rPr>
                <w:rFonts w:hint="eastAsia" w:ascii="楷体" w:hAnsi="楷体" w:eastAsia="楷体" w:cs="宋体"/>
                <w:color w:val="000000"/>
                <w:kern w:val="0"/>
                <w:szCs w:val="21"/>
              </w:rPr>
              <w:t>无免赔天数，</w:t>
            </w:r>
            <w:r>
              <w:rPr>
                <w:rFonts w:hint="eastAsia" w:ascii="楷体" w:hAnsi="楷体" w:eastAsia="楷体" w:cs="宋体"/>
                <w:b/>
                <w:color w:val="000000"/>
                <w:kern w:val="0"/>
                <w:szCs w:val="21"/>
              </w:rPr>
              <w:t>全年累计不超过180天。</w:t>
            </w:r>
          </w:p>
        </w:tc>
        <w:tc>
          <w:tcPr>
            <w:tcW w:w="2693" w:type="dxa"/>
            <w:vMerge w:val="restart"/>
            <w:tcBorders>
              <w:top w:val="nil"/>
              <w:left w:val="nil"/>
              <w:right w:val="single" w:color="auto" w:sz="4" w:space="0"/>
            </w:tcBorders>
            <w:vAlign w:val="center"/>
          </w:tcPr>
          <w:p w14:paraId="0819231A">
            <w:pPr>
              <w:widowControl/>
              <w:jc w:val="center"/>
              <w:rPr>
                <w:rFonts w:ascii="楷体" w:hAnsi="楷体" w:eastAsia="楷体" w:cs="宋体"/>
                <w:color w:val="000000"/>
                <w:kern w:val="0"/>
                <w:szCs w:val="21"/>
              </w:rPr>
            </w:pPr>
            <w:r>
              <w:rPr>
                <w:rFonts w:hint="eastAsia" w:ascii="楷体_GB2312" w:eastAsia="楷体_GB2312"/>
                <w:b/>
              </w:rPr>
              <w:t>被保险人因既往症导致住院，保险公司最多给付30天。</w:t>
            </w:r>
          </w:p>
        </w:tc>
      </w:tr>
      <w:tr w14:paraId="367F1C42">
        <w:tblPrEx>
          <w:tblCellMar>
            <w:top w:w="0" w:type="dxa"/>
            <w:left w:w="108" w:type="dxa"/>
            <w:bottom w:w="0" w:type="dxa"/>
            <w:right w:w="108" w:type="dxa"/>
          </w:tblCellMar>
        </w:tblPrEx>
        <w:trPr>
          <w:trHeight w:val="473" w:hRule="atLeast"/>
          <w:jc w:val="center"/>
        </w:trPr>
        <w:tc>
          <w:tcPr>
            <w:tcW w:w="1628" w:type="dxa"/>
            <w:gridSpan w:val="2"/>
            <w:vMerge w:val="continue"/>
            <w:tcBorders>
              <w:left w:val="single" w:color="auto" w:sz="4" w:space="0"/>
              <w:bottom w:val="single" w:color="auto" w:sz="4" w:space="0"/>
              <w:right w:val="single" w:color="000000" w:sz="4" w:space="0"/>
            </w:tcBorders>
            <w:vAlign w:val="center"/>
          </w:tcPr>
          <w:p w14:paraId="37383905">
            <w:pPr>
              <w:widowControl/>
              <w:jc w:val="center"/>
              <w:rPr>
                <w:rFonts w:ascii="楷体" w:hAnsi="楷体" w:eastAsia="楷体" w:cs="宋体"/>
                <w:color w:val="000000"/>
                <w:kern w:val="0"/>
                <w:szCs w:val="21"/>
              </w:rPr>
            </w:pPr>
          </w:p>
        </w:tc>
        <w:tc>
          <w:tcPr>
            <w:tcW w:w="1628" w:type="dxa"/>
            <w:tcBorders>
              <w:top w:val="single" w:color="auto" w:sz="4" w:space="0"/>
              <w:left w:val="single" w:color="auto" w:sz="4" w:space="0"/>
              <w:bottom w:val="single" w:color="auto" w:sz="4" w:space="0"/>
              <w:right w:val="single" w:color="000000" w:sz="4" w:space="0"/>
            </w:tcBorders>
            <w:vAlign w:val="center"/>
          </w:tcPr>
          <w:p w14:paraId="02F04EE2">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疾病住院津贴</w:t>
            </w:r>
          </w:p>
        </w:tc>
        <w:tc>
          <w:tcPr>
            <w:tcW w:w="1281" w:type="dxa"/>
            <w:vMerge w:val="continue"/>
            <w:tcBorders>
              <w:left w:val="nil"/>
              <w:bottom w:val="single" w:color="auto" w:sz="4" w:space="0"/>
              <w:right w:val="single" w:color="auto" w:sz="4" w:space="0"/>
            </w:tcBorders>
            <w:vAlign w:val="center"/>
          </w:tcPr>
          <w:p w14:paraId="580EF450">
            <w:pPr>
              <w:widowControl/>
              <w:jc w:val="center"/>
              <w:rPr>
                <w:rFonts w:ascii="楷体" w:hAnsi="楷体" w:eastAsia="楷体" w:cstheme="minorBidi"/>
                <w:szCs w:val="21"/>
              </w:rPr>
            </w:pPr>
          </w:p>
        </w:tc>
        <w:tc>
          <w:tcPr>
            <w:tcW w:w="2410" w:type="dxa"/>
            <w:vMerge w:val="continue"/>
            <w:tcBorders>
              <w:left w:val="nil"/>
              <w:bottom w:val="single" w:color="auto" w:sz="4" w:space="0"/>
              <w:right w:val="single" w:color="auto" w:sz="4" w:space="0"/>
            </w:tcBorders>
            <w:vAlign w:val="center"/>
          </w:tcPr>
          <w:p w14:paraId="50BF9474">
            <w:pPr>
              <w:widowControl/>
              <w:jc w:val="center"/>
              <w:rPr>
                <w:rFonts w:ascii="楷体" w:hAnsi="楷体" w:eastAsia="楷体" w:cs="宋体"/>
                <w:b/>
                <w:color w:val="000000"/>
                <w:kern w:val="0"/>
                <w:szCs w:val="21"/>
              </w:rPr>
            </w:pPr>
          </w:p>
        </w:tc>
        <w:tc>
          <w:tcPr>
            <w:tcW w:w="2693" w:type="dxa"/>
            <w:vMerge w:val="continue"/>
            <w:tcBorders>
              <w:left w:val="nil"/>
              <w:bottom w:val="single" w:color="auto" w:sz="4" w:space="0"/>
              <w:right w:val="single" w:color="auto" w:sz="4" w:space="0"/>
            </w:tcBorders>
            <w:vAlign w:val="center"/>
          </w:tcPr>
          <w:p w14:paraId="60AF0C7E">
            <w:pPr>
              <w:widowControl/>
              <w:jc w:val="center"/>
              <w:rPr>
                <w:rFonts w:ascii="楷体" w:hAnsi="楷体" w:eastAsia="楷体" w:cs="宋体"/>
                <w:color w:val="000000"/>
                <w:kern w:val="0"/>
                <w:szCs w:val="21"/>
              </w:rPr>
            </w:pPr>
          </w:p>
        </w:tc>
      </w:tr>
      <w:tr w14:paraId="07D5C62E">
        <w:tblPrEx>
          <w:tblCellMar>
            <w:top w:w="0" w:type="dxa"/>
            <w:left w:w="108" w:type="dxa"/>
            <w:bottom w:w="0" w:type="dxa"/>
            <w:right w:w="108" w:type="dxa"/>
          </w:tblCellMar>
        </w:tblPrEx>
        <w:trPr>
          <w:trHeight w:val="570" w:hRule="atLeast"/>
          <w:jc w:val="center"/>
        </w:trPr>
        <w:tc>
          <w:tcPr>
            <w:tcW w:w="3256" w:type="dxa"/>
            <w:gridSpan w:val="3"/>
            <w:tcBorders>
              <w:top w:val="single" w:color="auto" w:sz="4" w:space="0"/>
              <w:left w:val="single" w:color="auto" w:sz="4" w:space="0"/>
              <w:bottom w:val="single" w:color="auto" w:sz="4" w:space="0"/>
              <w:right w:val="single" w:color="auto" w:sz="4" w:space="0"/>
            </w:tcBorders>
            <w:vAlign w:val="center"/>
          </w:tcPr>
          <w:p w14:paraId="57B506FB">
            <w:pPr>
              <w:widowControl/>
              <w:jc w:val="center"/>
              <w:rPr>
                <w:rFonts w:ascii="楷体" w:hAnsi="楷体" w:eastAsia="楷体" w:cs="宋体"/>
                <w:b/>
                <w:bCs/>
                <w:color w:val="000000"/>
                <w:kern w:val="0"/>
                <w:szCs w:val="21"/>
              </w:rPr>
            </w:pPr>
            <w:r>
              <w:rPr>
                <w:rFonts w:hint="eastAsia" w:ascii="楷体" w:hAnsi="楷体" w:eastAsia="楷体" w:cs="宋体"/>
                <w:b/>
                <w:bCs/>
                <w:color w:val="000000"/>
                <w:kern w:val="0"/>
                <w:szCs w:val="21"/>
              </w:rPr>
              <w:t>合计保费</w:t>
            </w:r>
          </w:p>
        </w:tc>
        <w:tc>
          <w:tcPr>
            <w:tcW w:w="6384" w:type="dxa"/>
            <w:gridSpan w:val="3"/>
            <w:tcBorders>
              <w:top w:val="single" w:color="auto" w:sz="4" w:space="0"/>
              <w:left w:val="single" w:color="auto" w:sz="4" w:space="0"/>
              <w:bottom w:val="single" w:color="auto" w:sz="4" w:space="0"/>
              <w:right w:val="single" w:color="auto" w:sz="4" w:space="0"/>
            </w:tcBorders>
            <w:noWrap/>
            <w:vAlign w:val="center"/>
          </w:tcPr>
          <w:p w14:paraId="2F526ABE">
            <w:pPr>
              <w:widowControl/>
              <w:jc w:val="center"/>
              <w:rPr>
                <w:rFonts w:ascii="楷体" w:hAnsi="楷体" w:eastAsia="楷体" w:cs="宋体"/>
                <w:color w:val="000000"/>
                <w:kern w:val="0"/>
                <w:szCs w:val="21"/>
              </w:rPr>
            </w:pPr>
            <w:r>
              <w:rPr>
                <w:rFonts w:hint="eastAsia" w:ascii="楷体" w:hAnsi="楷体" w:eastAsia="楷体" w:cs="宋体"/>
                <w:color w:val="000000"/>
                <w:kern w:val="0"/>
                <w:szCs w:val="21"/>
              </w:rPr>
              <w:t>345元</w:t>
            </w:r>
          </w:p>
        </w:tc>
      </w:tr>
    </w:tbl>
    <w:p w14:paraId="1363ACC4"/>
    <w:p w14:paraId="6C6333D5"/>
    <w:p w14:paraId="3A542536">
      <w:pPr>
        <w:pStyle w:val="7"/>
        <w:widowControl/>
        <w:numPr>
          <w:ilvl w:val="0"/>
          <w:numId w:val="2"/>
        </w:numPr>
        <w:spacing w:line="360" w:lineRule="auto"/>
        <w:ind w:firstLineChars="0"/>
        <w:jc w:val="left"/>
        <w:outlineLvl w:val="1"/>
        <w:rPr>
          <w:rFonts w:ascii="楷体" w:hAnsi="楷体" w:eastAsia="楷体" w:cs="宋体"/>
          <w:kern w:val="0"/>
          <w:sz w:val="24"/>
        </w:rPr>
      </w:pPr>
      <w:r>
        <w:rPr>
          <w:rFonts w:hint="eastAsia" w:ascii="楷体" w:hAnsi="楷体" w:eastAsia="楷体" w:cs="Arial"/>
          <w:color w:val="000000"/>
          <w:kern w:val="0"/>
          <w:sz w:val="24"/>
        </w:rPr>
        <w:t>保险责任具体描述</w:t>
      </w:r>
    </w:p>
    <w:p w14:paraId="5839D49F">
      <w:pPr>
        <w:pStyle w:val="7"/>
        <w:widowControl/>
        <w:numPr>
          <w:ilvl w:val="0"/>
          <w:numId w:val="3"/>
        </w:numPr>
        <w:spacing w:line="360" w:lineRule="auto"/>
        <w:ind w:firstLineChars="0"/>
        <w:jc w:val="left"/>
        <w:outlineLvl w:val="2"/>
        <w:rPr>
          <w:rFonts w:ascii="楷体" w:hAnsi="楷体" w:eastAsia="楷体" w:cs="宋体"/>
          <w:b/>
          <w:kern w:val="0"/>
          <w:sz w:val="24"/>
        </w:rPr>
      </w:pPr>
      <w:r>
        <w:rPr>
          <w:rFonts w:hint="eastAsia" w:ascii="楷体" w:hAnsi="楷体" w:eastAsia="楷体" w:cs="Arial"/>
          <w:b/>
          <w:kern w:val="0"/>
          <w:sz w:val="24"/>
        </w:rPr>
        <w:t>《平安团体交通意外伤害保险（2022版）》</w:t>
      </w:r>
    </w:p>
    <w:p w14:paraId="0CD0C9F5">
      <w:pPr>
        <w:autoSpaceDE w:val="0"/>
        <w:autoSpaceDN w:val="0"/>
        <w:adjustRightInd w:val="0"/>
        <w:spacing w:line="360" w:lineRule="auto"/>
        <w:ind w:firstLine="472" w:firstLineChars="196"/>
        <w:jc w:val="left"/>
        <w:rPr>
          <w:rFonts w:ascii="楷体" w:hAnsi="楷体" w:eastAsia="楷体" w:cs="Arial"/>
          <w:b/>
          <w:kern w:val="0"/>
          <w:sz w:val="24"/>
        </w:rPr>
      </w:pPr>
      <w:r>
        <w:rPr>
          <w:rFonts w:hint="eastAsia" w:ascii="楷体" w:hAnsi="楷体" w:eastAsia="楷体" w:cs="Arial"/>
          <w:b/>
          <w:sz w:val="24"/>
        </w:rPr>
        <w:t>交通意外身故保障：</w:t>
      </w:r>
      <w:r>
        <w:rPr>
          <w:rFonts w:hint="eastAsia" w:ascii="楷体" w:hAnsi="楷体" w:eastAsia="楷体" w:cs="Arial"/>
          <w:kern w:val="0"/>
          <w:sz w:val="24"/>
        </w:rPr>
        <w:t>被保险人在保险期间内以乘客身份持有效客票乘坐所选的客运公共交通工具 ，因其搭乘的客运公共交通工具发生事故而遭受意外伤害并自该意外伤害事故发生之日起</w:t>
      </w:r>
      <w:r>
        <w:rPr>
          <w:rFonts w:hint="eastAsia" w:ascii="楷体" w:hAnsi="楷体" w:eastAsia="楷体" w:cs="Arial"/>
          <w:b/>
          <w:kern w:val="0"/>
          <w:sz w:val="24"/>
        </w:rPr>
        <w:t>180日内</w:t>
      </w:r>
      <w:r>
        <w:rPr>
          <w:rFonts w:hint="eastAsia" w:ascii="楷体" w:hAnsi="楷体" w:eastAsia="楷体" w:cs="Arial"/>
          <w:kern w:val="0"/>
          <w:sz w:val="24"/>
        </w:rPr>
        <w:t>（包含意外伤害事故发生当日和第180日）以该事故造成的意外伤害为直接且单独的原因身故的，</w:t>
      </w:r>
      <w:r>
        <w:rPr>
          <w:rFonts w:hint="eastAsia" w:ascii="楷体" w:hAnsi="楷体" w:eastAsia="楷体" w:cs="Arial"/>
          <w:b/>
          <w:kern w:val="0"/>
          <w:sz w:val="24"/>
        </w:rPr>
        <w:t>我们按约定的意外身故保险金责任的给付金额向身故保险金受益人给付意外身故保险金，对该被保险人保险责任终止。</w:t>
      </w:r>
    </w:p>
    <w:p w14:paraId="40E06776">
      <w:pPr>
        <w:autoSpaceDE w:val="0"/>
        <w:autoSpaceDN w:val="0"/>
        <w:adjustRightInd w:val="0"/>
        <w:spacing w:line="360" w:lineRule="auto"/>
        <w:ind w:firstLine="472" w:firstLineChars="196"/>
        <w:jc w:val="left"/>
        <w:rPr>
          <w:rFonts w:ascii="楷体" w:hAnsi="楷体" w:eastAsia="楷体" w:cs="Arial"/>
          <w:kern w:val="0"/>
          <w:sz w:val="24"/>
        </w:rPr>
      </w:pPr>
      <w:r>
        <w:rPr>
          <w:rFonts w:hint="eastAsia" w:ascii="楷体" w:hAnsi="楷体" w:eastAsia="楷体" w:cs="Arial"/>
          <w:b/>
          <w:sz w:val="24"/>
        </w:rPr>
        <w:t>交通意外残疾保障：</w:t>
      </w:r>
      <w:r>
        <w:rPr>
          <w:rFonts w:hint="eastAsia" w:ascii="楷体" w:hAnsi="楷体" w:eastAsia="楷体" w:cs="Arial"/>
          <w:kern w:val="0"/>
          <w:sz w:val="24"/>
        </w:rPr>
        <w:t>被保险人在保险期间内以乘客身份持有效客票乘坐所选的客运公共交通工具期间，因其搭乘的客运公共交通工具发生事故而遭受意外伤害并自该意外伤害事故发生之日起</w:t>
      </w:r>
      <w:r>
        <w:rPr>
          <w:rFonts w:hint="eastAsia" w:ascii="楷体" w:hAnsi="楷体" w:eastAsia="楷体" w:cs="Arial"/>
          <w:b/>
          <w:kern w:val="0"/>
          <w:sz w:val="24"/>
        </w:rPr>
        <w:t>180日内</w:t>
      </w:r>
      <w:r>
        <w:rPr>
          <w:rFonts w:hint="eastAsia" w:ascii="楷体" w:hAnsi="楷体" w:eastAsia="楷体" w:cs="Arial"/>
          <w:kern w:val="0"/>
          <w:sz w:val="24"/>
        </w:rPr>
        <w:t>（包含意外伤害事故发生当日和第180日），以该事故造成的意外伤害为直接且单独的原因造成被保险人伤残的，</w:t>
      </w:r>
      <w:r>
        <w:rPr>
          <w:rFonts w:hint="eastAsia" w:ascii="楷体" w:hAnsi="楷体" w:eastAsia="楷体" w:cs="Arial"/>
          <w:b/>
          <w:kern w:val="0"/>
          <w:sz w:val="24"/>
        </w:rPr>
        <w:t>按照《人身保险伤残评定标准及代码》（J</w:t>
      </w:r>
      <w:r>
        <w:rPr>
          <w:rFonts w:ascii="楷体" w:hAnsi="楷体" w:eastAsia="楷体" w:cs="Arial"/>
          <w:b/>
          <w:kern w:val="0"/>
          <w:sz w:val="24"/>
        </w:rPr>
        <w:t>R/T0083-2013）</w:t>
      </w:r>
      <w:r>
        <w:rPr>
          <w:rFonts w:hint="eastAsia" w:ascii="楷体" w:hAnsi="楷体" w:eastAsia="楷体" w:cs="Arial"/>
          <w:b/>
          <w:kern w:val="0"/>
          <w:sz w:val="24"/>
        </w:rPr>
        <w:t>对伤残等级进行评定，保险公司按其伤残等级对应的给付比例乘以其所投保的客运公共交通工具意外伤害保险金额给付意外伤残保险金。如治疗仍未结束的，按事故发生之日起第180日的身体情况进行伤残评定，保险公司据此评定给付意外伤残保险金。</w:t>
      </w:r>
    </w:p>
    <w:p w14:paraId="7BEE0131">
      <w:pPr>
        <w:autoSpaceDE w:val="0"/>
        <w:autoSpaceDN w:val="0"/>
        <w:adjustRightInd w:val="0"/>
        <w:spacing w:line="360" w:lineRule="auto"/>
        <w:ind w:firstLine="480" w:firstLineChars="200"/>
        <w:jc w:val="left"/>
        <w:rPr>
          <w:rFonts w:ascii="楷体" w:hAnsi="楷体" w:eastAsia="楷体" w:cs="Arial"/>
          <w:kern w:val="0"/>
          <w:sz w:val="24"/>
        </w:rPr>
      </w:pPr>
      <w:r>
        <w:rPr>
          <w:rFonts w:hint="eastAsia" w:ascii="楷体" w:hAnsi="楷体" w:eastAsia="楷体" w:cs="Arial"/>
          <w:kern w:val="0"/>
          <w:sz w:val="24"/>
        </w:rPr>
        <w:t>被保险人该次以乘客身份在乘坐所投保的客运公共交通工具期间因遭受意外事故导致的伤残合并前次伤残可领较严重项目意外伤残保险金的，按较严重项目标准给付，</w:t>
      </w:r>
      <w:r>
        <w:rPr>
          <w:rFonts w:hint="eastAsia" w:ascii="楷体" w:hAnsi="楷体" w:eastAsia="楷体" w:cs="Arial"/>
          <w:b/>
          <w:kern w:val="0"/>
          <w:sz w:val="24"/>
        </w:rPr>
        <w:t>但前次已给付的意外伤残保险金（投保前已有或因责任免除事项所致符合所选伤残评定标准伤残的，视为已给付意外伤残保险金）应予以扣除。</w:t>
      </w:r>
    </w:p>
    <w:p w14:paraId="74B0A125">
      <w:pPr>
        <w:autoSpaceDE w:val="0"/>
        <w:autoSpaceDN w:val="0"/>
        <w:adjustRightInd w:val="0"/>
        <w:spacing w:line="360" w:lineRule="auto"/>
        <w:ind w:firstLine="482" w:firstLineChars="200"/>
        <w:jc w:val="left"/>
        <w:rPr>
          <w:rFonts w:ascii="楷体" w:hAnsi="楷体" w:eastAsia="楷体" w:cs="Arial"/>
          <w:b/>
          <w:kern w:val="0"/>
          <w:sz w:val="24"/>
        </w:rPr>
      </w:pPr>
      <w:r>
        <w:rPr>
          <w:rFonts w:hint="eastAsia" w:ascii="楷体" w:hAnsi="楷体" w:eastAsia="楷体" w:cs="Arial"/>
          <w:b/>
          <w:kern w:val="0"/>
          <w:sz w:val="24"/>
        </w:rPr>
        <w:t>每一类客运公共交通工具下，被保险人的意外身故保险金及意外伤残保险金的累计给付金额以该被保险人的该类客运公共交通工具意外伤害保险金额为限。</w:t>
      </w:r>
    </w:p>
    <w:p w14:paraId="0A94E1B9">
      <w:pPr>
        <w:pStyle w:val="7"/>
        <w:widowControl/>
        <w:numPr>
          <w:ilvl w:val="0"/>
          <w:numId w:val="3"/>
        </w:numPr>
        <w:spacing w:line="360" w:lineRule="auto"/>
        <w:ind w:firstLineChars="0"/>
        <w:jc w:val="left"/>
        <w:outlineLvl w:val="2"/>
        <w:rPr>
          <w:rFonts w:ascii="楷体" w:hAnsi="楷体" w:eastAsia="楷体" w:cs="Arial"/>
          <w:b/>
          <w:kern w:val="0"/>
          <w:sz w:val="24"/>
        </w:rPr>
      </w:pPr>
      <w:r>
        <w:rPr>
          <w:rFonts w:hint="eastAsia" w:ascii="楷体" w:hAnsi="楷体" w:eastAsia="楷体" w:cs="Arial"/>
          <w:b/>
          <w:kern w:val="0"/>
          <w:sz w:val="24"/>
        </w:rPr>
        <w:t>《平安附加团体疾病保险》</w:t>
      </w:r>
    </w:p>
    <w:p w14:paraId="0CA4203F">
      <w:pPr>
        <w:pStyle w:val="8"/>
        <w:spacing w:line="360" w:lineRule="auto"/>
        <w:ind w:firstLine="482" w:firstLineChars="200"/>
        <w:rPr>
          <w:rFonts w:ascii="楷体" w:hAnsi="楷体" w:eastAsia="楷体" w:cs="Arial"/>
          <w:b/>
        </w:rPr>
      </w:pPr>
      <w:r>
        <w:rPr>
          <w:rFonts w:hint="eastAsia" w:ascii="楷体" w:hAnsi="楷体" w:eastAsia="楷体" w:cs="Arial"/>
          <w:b/>
        </w:rPr>
        <w:t>投保人为被保险人首次投保本保险或非连续投保本保险时，自被保险人保险生效日起至本协议约定天数内为等待期，</w:t>
      </w:r>
      <w:r>
        <w:rPr>
          <w:rFonts w:hint="eastAsia" w:ascii="楷体" w:hAnsi="楷体" w:eastAsia="楷体" w:cs="Arial"/>
        </w:rPr>
        <w:t>投保人为被保险人连续投保本保险的或被保险人因遭受意外事故导致初次发生重大疾病的无等待期。</w:t>
      </w:r>
      <w:r>
        <w:rPr>
          <w:rFonts w:hint="eastAsia" w:ascii="楷体" w:hAnsi="楷体" w:eastAsia="楷体" w:cs="Arial"/>
          <w:b/>
        </w:rPr>
        <w:t>被保险人在等待期内发生重大疾病，本保险公司不承担给付保险金的责任。</w:t>
      </w:r>
    </w:p>
    <w:p w14:paraId="0F75C08B">
      <w:pPr>
        <w:pStyle w:val="4"/>
        <w:spacing w:line="360" w:lineRule="auto"/>
        <w:rPr>
          <w:rFonts w:ascii="楷体" w:hAnsi="楷体" w:eastAsia="楷体" w:cs="Arial"/>
        </w:rPr>
      </w:pPr>
      <w:r>
        <w:rPr>
          <w:rFonts w:hint="eastAsia" w:ascii="楷体" w:hAnsi="楷体" w:eastAsia="楷体" w:cs="Arial"/>
        </w:rPr>
        <w:t>投保人可以选择以下一项或多项保险责任投保，但选择必须符合法律及监管规定的要求。在本保险合同有效期内，除等待期期间依前款约定外，本保险公司按约定承担下列一项或多项保险责任；</w:t>
      </w:r>
    </w:p>
    <w:p w14:paraId="33685C0E">
      <w:pPr>
        <w:pStyle w:val="4"/>
        <w:spacing w:line="360" w:lineRule="auto"/>
        <w:ind w:firstLine="361" w:firstLineChars="150"/>
        <w:rPr>
          <w:rFonts w:ascii="楷体" w:hAnsi="楷体" w:eastAsia="楷体" w:cs="Arial"/>
          <w:b/>
        </w:rPr>
      </w:pPr>
      <w:r>
        <w:rPr>
          <w:rFonts w:hint="eastAsia" w:ascii="楷体" w:hAnsi="楷体" w:eastAsia="楷体" w:cs="Arial"/>
          <w:b/>
        </w:rPr>
        <w:t>（1）基础责任</w:t>
      </w:r>
    </w:p>
    <w:p w14:paraId="45A04A78">
      <w:pPr>
        <w:pStyle w:val="4"/>
        <w:spacing w:line="360" w:lineRule="auto"/>
        <w:ind w:firstLine="361" w:firstLineChars="150"/>
        <w:rPr>
          <w:rFonts w:ascii="楷体" w:hAnsi="楷体" w:eastAsia="楷体" w:cs="Arial"/>
        </w:rPr>
      </w:pPr>
      <w:r>
        <w:rPr>
          <w:rFonts w:hint="eastAsia" w:ascii="楷体" w:hAnsi="楷体" w:eastAsia="楷体" w:cs="Arial"/>
          <w:b/>
        </w:rPr>
        <w:t>重大疾病保险金：被保险人经医院确诊初次发生重大疾病的，本保险公司按重大疾病保险金额给付重大疾病保险金，对该保险人的该项保险责任终止。</w:t>
      </w:r>
    </w:p>
    <w:p w14:paraId="3155BF14">
      <w:pPr>
        <w:pStyle w:val="4"/>
        <w:spacing w:line="360" w:lineRule="auto"/>
        <w:ind w:firstLine="360" w:firstLineChars="150"/>
        <w:rPr>
          <w:rFonts w:ascii="楷体" w:hAnsi="楷体" w:eastAsia="楷体" w:cs="Arial"/>
          <w:b/>
        </w:rPr>
      </w:pPr>
      <w:r>
        <w:rPr>
          <w:rFonts w:hint="eastAsia" w:ascii="楷体" w:hAnsi="楷体" w:eastAsia="楷体" w:cs="Arial"/>
        </w:rPr>
        <w:t xml:space="preserve"> </w:t>
      </w:r>
      <w:r>
        <w:rPr>
          <w:rFonts w:hint="eastAsia" w:ascii="楷体" w:hAnsi="楷体" w:eastAsia="楷体" w:cs="Arial"/>
          <w:b/>
          <w:shd w:val="pct10" w:color="auto" w:fill="FFFFFF"/>
        </w:rPr>
        <w:t>被保险人在首次投保前或非连续投保前发生重大疾病的，本保险公司不承担给付保险金的责任。</w:t>
      </w:r>
      <w:r>
        <w:rPr>
          <w:rFonts w:hint="eastAsia" w:ascii="楷体" w:hAnsi="楷体" w:eastAsia="楷体" w:cs="Arial"/>
          <w:b/>
        </w:rPr>
        <w:t xml:space="preserve">  </w:t>
      </w:r>
    </w:p>
    <w:p w14:paraId="34E0EBC5">
      <w:pPr>
        <w:pStyle w:val="7"/>
        <w:widowControl/>
        <w:numPr>
          <w:ilvl w:val="0"/>
          <w:numId w:val="3"/>
        </w:numPr>
        <w:spacing w:line="360" w:lineRule="auto"/>
        <w:ind w:firstLineChars="0"/>
        <w:jc w:val="left"/>
        <w:outlineLvl w:val="2"/>
        <w:rPr>
          <w:rFonts w:ascii="楷体" w:hAnsi="楷体" w:eastAsia="楷体" w:cs="Arial"/>
          <w:b/>
          <w:kern w:val="0"/>
          <w:sz w:val="24"/>
        </w:rPr>
      </w:pPr>
      <w:r>
        <w:rPr>
          <w:rFonts w:hint="eastAsia" w:ascii="楷体" w:hAnsi="楷体" w:eastAsia="楷体" w:cs="Arial"/>
          <w:b/>
          <w:color w:val="000000"/>
          <w:kern w:val="0"/>
          <w:sz w:val="24"/>
        </w:rPr>
        <w:t>《平安附加意外伤害（2018）团体医疗保险》</w:t>
      </w:r>
    </w:p>
    <w:p w14:paraId="33C1A18F">
      <w:pPr>
        <w:autoSpaceDE w:val="0"/>
        <w:autoSpaceDN w:val="0"/>
        <w:adjustRightInd w:val="0"/>
        <w:spacing w:line="360" w:lineRule="auto"/>
        <w:ind w:firstLine="480" w:firstLineChars="200"/>
        <w:jc w:val="left"/>
        <w:rPr>
          <w:rFonts w:ascii="楷体" w:hAnsi="楷体" w:eastAsia="楷体" w:cs="Arial"/>
          <w:b/>
          <w:sz w:val="24"/>
        </w:rPr>
      </w:pPr>
      <w:r>
        <w:rPr>
          <w:rFonts w:hint="eastAsia" w:ascii="楷体" w:hAnsi="楷体" w:eastAsia="楷体" w:cs="Arial"/>
          <w:sz w:val="24"/>
        </w:rPr>
        <w:t>被保险人在本附加合同有效期内遭受意外伤害事故、并因此在医院进行治疗的，保险公司就其该次意外伤害事故发生之日起</w:t>
      </w:r>
      <w:r>
        <w:rPr>
          <w:rFonts w:hint="eastAsia" w:ascii="楷体" w:hAnsi="楷体" w:eastAsia="楷体" w:cs="Arial"/>
          <w:b/>
          <w:sz w:val="24"/>
        </w:rPr>
        <w:t>180日内</w:t>
      </w:r>
      <w:r>
        <w:rPr>
          <w:rFonts w:hint="eastAsia" w:ascii="楷体" w:hAnsi="楷体" w:eastAsia="楷体" w:cs="Arial"/>
          <w:sz w:val="24"/>
        </w:rPr>
        <w:t>发生的、符合当地社会基本医疗保险规定的合理医疗费用，</w:t>
      </w:r>
      <w:r>
        <w:rPr>
          <w:rFonts w:hint="eastAsia" w:ascii="楷体" w:hAnsi="楷体" w:eastAsia="楷体" w:cs="Arial"/>
          <w:b/>
          <w:sz w:val="24"/>
        </w:rPr>
        <w:t xml:space="preserve">在扣除约定的免赔额后，按约定的给付比例给付意外医疗保险金。 </w:t>
      </w:r>
    </w:p>
    <w:p w14:paraId="265FBF3F">
      <w:pPr>
        <w:spacing w:line="360" w:lineRule="auto"/>
        <w:ind w:firstLine="480" w:firstLineChars="200"/>
        <w:rPr>
          <w:rFonts w:ascii="楷体" w:hAnsi="楷体" w:eastAsia="楷体" w:cs="Arial"/>
          <w:b/>
          <w:sz w:val="24"/>
        </w:rPr>
      </w:pPr>
      <w:r>
        <w:rPr>
          <w:rFonts w:hint="eastAsia" w:ascii="楷体" w:hAnsi="楷体" w:eastAsia="楷体" w:cs="Arial"/>
          <w:sz w:val="24"/>
        </w:rPr>
        <w:t>被保险人不论一次或多次遭受意外伤害事故而造成合理医疗费用支出的，保险公司均按上述约定分别给付意外医疗保险金，</w:t>
      </w:r>
      <w:r>
        <w:rPr>
          <w:rFonts w:hint="eastAsia" w:ascii="楷体" w:hAnsi="楷体" w:eastAsia="楷体" w:cs="Arial"/>
          <w:b/>
          <w:sz w:val="24"/>
        </w:rPr>
        <w:t>但累计给付金额以该被保险人的意外医疗保险金额为限，累计给付金额达到其意外医疗保险金额时，对该被保险人的保险责任终止。</w:t>
      </w:r>
    </w:p>
    <w:p w14:paraId="6AADD5C3">
      <w:pPr>
        <w:pStyle w:val="7"/>
        <w:widowControl/>
        <w:numPr>
          <w:ilvl w:val="0"/>
          <w:numId w:val="3"/>
        </w:numPr>
        <w:spacing w:line="360" w:lineRule="auto"/>
        <w:ind w:firstLineChars="0"/>
        <w:jc w:val="left"/>
        <w:outlineLvl w:val="2"/>
        <w:rPr>
          <w:rFonts w:ascii="楷体" w:hAnsi="楷体" w:eastAsia="楷体" w:cs="Arial"/>
          <w:b/>
          <w:kern w:val="0"/>
          <w:sz w:val="24"/>
        </w:rPr>
      </w:pPr>
      <w:r>
        <w:rPr>
          <w:rFonts w:hint="eastAsia" w:ascii="楷体" w:hAnsi="楷体" w:eastAsia="楷体" w:cs="Arial"/>
          <w:b/>
          <w:color w:val="000000"/>
          <w:kern w:val="0"/>
          <w:sz w:val="24"/>
        </w:rPr>
        <w:t>《平安住院津贴（2018）团体医疗保险》</w:t>
      </w:r>
    </w:p>
    <w:p w14:paraId="29EE8045">
      <w:pPr>
        <w:autoSpaceDE w:val="0"/>
        <w:autoSpaceDN w:val="0"/>
        <w:adjustRightInd w:val="0"/>
        <w:spacing w:line="360" w:lineRule="auto"/>
        <w:ind w:firstLine="482" w:firstLineChars="200"/>
        <w:jc w:val="left"/>
        <w:rPr>
          <w:rFonts w:ascii="楷体" w:hAnsi="楷体" w:eastAsia="楷体" w:cs="Arial"/>
          <w:kern w:val="0"/>
          <w:sz w:val="24"/>
        </w:rPr>
      </w:pPr>
      <w:r>
        <w:rPr>
          <w:rFonts w:hint="eastAsia" w:ascii="楷体" w:hAnsi="楷体" w:eastAsia="楷体" w:cs="Arial"/>
          <w:b/>
          <w:kern w:val="0"/>
          <w:sz w:val="24"/>
        </w:rPr>
        <w:t>投保人为被保险人首次投保本保险或非连续投保本保险时，自被保险人保险生效日起至本协议约定天数内为等待期，</w:t>
      </w:r>
      <w:r>
        <w:rPr>
          <w:rFonts w:hint="eastAsia" w:ascii="楷体" w:hAnsi="楷体" w:eastAsia="楷体" w:cs="Arial"/>
          <w:kern w:val="0"/>
          <w:sz w:val="24"/>
        </w:rPr>
        <w:t>投保人为被保险人连续投保本保险的或被保险人因遭受意外伤害事故进行治疗的无等待期。</w:t>
      </w:r>
      <w:r>
        <w:rPr>
          <w:rFonts w:hint="eastAsia" w:ascii="楷体" w:hAnsi="楷体" w:eastAsia="楷体" w:cs="Arial"/>
          <w:b/>
          <w:kern w:val="0"/>
          <w:sz w:val="24"/>
        </w:rPr>
        <w:t>被保险人在等待期内发生疾病，由此而导致的住院治疗，无论住院治疗时间与生效之日是否间隔超过30 日，本保险公司均不承担给付保险金的责任。</w:t>
      </w:r>
      <w:r>
        <w:rPr>
          <w:rFonts w:hint="eastAsia" w:ascii="楷体" w:hAnsi="楷体" w:eastAsia="楷体" w:cs="Arial"/>
          <w:kern w:val="0"/>
          <w:sz w:val="24"/>
        </w:rPr>
        <w:t>被保险人在保险期间内发生且延续至本保险合同满期日后</w:t>
      </w:r>
      <w:r>
        <w:rPr>
          <w:rFonts w:hint="eastAsia" w:ascii="楷体" w:hAnsi="楷体" w:eastAsia="楷体" w:cs="Arial"/>
          <w:b/>
          <w:kern w:val="0"/>
          <w:sz w:val="24"/>
        </w:rPr>
        <w:t>30 日内</w:t>
      </w:r>
      <w:r>
        <w:rPr>
          <w:rFonts w:hint="eastAsia" w:ascii="楷体" w:hAnsi="楷体" w:eastAsia="楷体" w:cs="Arial"/>
          <w:kern w:val="0"/>
          <w:sz w:val="24"/>
        </w:rPr>
        <w:t>的住院治疗，本保险公司承担给付保险金的责任。</w:t>
      </w:r>
    </w:p>
    <w:p w14:paraId="3DBB9628">
      <w:pPr>
        <w:spacing w:line="360" w:lineRule="auto"/>
        <w:rPr>
          <w:rFonts w:ascii="楷体" w:hAnsi="楷体" w:eastAsia="楷体" w:cs="Arial"/>
          <w:kern w:val="0"/>
          <w:sz w:val="24"/>
        </w:rPr>
      </w:pPr>
      <w:r>
        <w:rPr>
          <w:rFonts w:hint="eastAsia" w:ascii="楷体" w:hAnsi="楷体" w:eastAsia="楷体" w:cs="Arial"/>
          <w:kern w:val="0"/>
          <w:sz w:val="24"/>
        </w:rPr>
        <w:t>在保险合同有效期内，除等待期期间依前款约定外，本保险公司承担下列保险责任：</w:t>
      </w:r>
    </w:p>
    <w:p w14:paraId="607C541F">
      <w:pPr>
        <w:autoSpaceDE w:val="0"/>
        <w:autoSpaceDN w:val="0"/>
        <w:adjustRightInd w:val="0"/>
        <w:spacing w:line="360" w:lineRule="auto"/>
        <w:ind w:firstLine="482" w:firstLineChars="200"/>
        <w:jc w:val="left"/>
        <w:rPr>
          <w:rFonts w:ascii="楷体" w:hAnsi="楷体" w:eastAsia="楷体" w:cs="Arial"/>
          <w:b/>
          <w:kern w:val="0"/>
          <w:sz w:val="24"/>
        </w:rPr>
      </w:pPr>
      <w:r>
        <w:rPr>
          <w:rFonts w:hint="eastAsia" w:ascii="楷体" w:hAnsi="楷体" w:eastAsia="楷体" w:cs="Arial"/>
          <w:b/>
          <w:kern w:val="0"/>
          <w:sz w:val="24"/>
        </w:rPr>
        <w:t>住院日额津贴保险金</w:t>
      </w:r>
    </w:p>
    <w:p w14:paraId="1CB41011">
      <w:pPr>
        <w:autoSpaceDE w:val="0"/>
        <w:autoSpaceDN w:val="0"/>
        <w:adjustRightInd w:val="0"/>
        <w:spacing w:line="360" w:lineRule="auto"/>
        <w:ind w:firstLine="480" w:firstLineChars="200"/>
        <w:jc w:val="left"/>
        <w:rPr>
          <w:rFonts w:ascii="楷体" w:hAnsi="楷体" w:eastAsia="楷体" w:cs="Arial"/>
          <w:kern w:val="0"/>
          <w:sz w:val="24"/>
        </w:rPr>
      </w:pPr>
      <w:r>
        <w:rPr>
          <w:rFonts w:hint="eastAsia" w:ascii="楷体" w:hAnsi="楷体" w:eastAsia="楷体" w:cs="Arial"/>
          <w:kern w:val="0"/>
          <w:sz w:val="24"/>
        </w:rPr>
        <w:t>被保险人因疾病经医院确诊必须住院治疗的，</w:t>
      </w:r>
      <w:r>
        <w:rPr>
          <w:rFonts w:hint="eastAsia" w:ascii="楷体" w:hAnsi="楷体" w:eastAsia="楷体" w:cs="Arial"/>
          <w:b/>
          <w:kern w:val="0"/>
          <w:sz w:val="24"/>
        </w:rPr>
        <w:t>本保险人自被保险人每次住院的第4日起每日按约定的住院日额津贴给付住院日额津贴保险金，每次疾病住院给付日数为合理住院日数减3日。</w:t>
      </w:r>
    </w:p>
    <w:p w14:paraId="42D917BE">
      <w:pPr>
        <w:autoSpaceDE w:val="0"/>
        <w:autoSpaceDN w:val="0"/>
        <w:adjustRightInd w:val="0"/>
        <w:spacing w:line="360" w:lineRule="auto"/>
        <w:ind w:firstLine="480" w:firstLineChars="200"/>
        <w:jc w:val="left"/>
        <w:rPr>
          <w:rFonts w:ascii="楷体" w:hAnsi="楷体" w:eastAsia="楷体" w:cs="Arial"/>
          <w:kern w:val="0"/>
          <w:sz w:val="24"/>
        </w:rPr>
      </w:pPr>
      <w:r>
        <w:rPr>
          <w:rFonts w:hint="eastAsia" w:ascii="楷体" w:hAnsi="楷体" w:eastAsia="楷体" w:cs="Arial"/>
          <w:kern w:val="0"/>
          <w:sz w:val="24"/>
        </w:rPr>
        <w:t>被保险人因遭受意外伤害事故，经医院确诊必须住院治疗的，本公司按其合理住院日数乘以住院日额津贴给付住院日额津贴保险金。</w:t>
      </w:r>
    </w:p>
    <w:p w14:paraId="29598771">
      <w:pPr>
        <w:spacing w:line="360" w:lineRule="auto"/>
        <w:ind w:firstLine="482" w:firstLineChars="200"/>
        <w:rPr>
          <w:rFonts w:ascii="楷体" w:hAnsi="楷体" w:eastAsia="楷体" w:cs="Arial"/>
          <w:color w:val="000000"/>
          <w:sz w:val="24"/>
        </w:rPr>
      </w:pPr>
      <w:r>
        <w:rPr>
          <w:rFonts w:hint="eastAsia" w:ascii="楷体" w:hAnsi="楷体" w:eastAsia="楷体" w:cs="Arial"/>
          <w:b/>
          <w:kern w:val="0"/>
          <w:sz w:val="24"/>
        </w:rPr>
        <w:t>住院日额津贴保险金累计给付日数最多为180 日，累计给付住院日额津贴保险金的日数达到180日时，对该被保险人该项保险责任终止。</w:t>
      </w:r>
    </w:p>
    <w:p w14:paraId="5BF96130">
      <w:pPr>
        <w:pStyle w:val="7"/>
        <w:widowControl/>
        <w:numPr>
          <w:ilvl w:val="0"/>
          <w:numId w:val="3"/>
        </w:numPr>
        <w:spacing w:line="360" w:lineRule="auto"/>
        <w:ind w:firstLineChars="0"/>
        <w:jc w:val="left"/>
        <w:outlineLvl w:val="2"/>
        <w:rPr>
          <w:rFonts w:ascii="楷体" w:hAnsi="楷体" w:eastAsia="楷体" w:cs="宋体"/>
          <w:b/>
          <w:kern w:val="0"/>
          <w:sz w:val="24"/>
        </w:rPr>
      </w:pPr>
      <w:r>
        <w:rPr>
          <w:rFonts w:hint="eastAsia" w:ascii="楷体" w:hAnsi="楷体" w:eastAsia="楷体" w:cs="Arial"/>
          <w:b/>
          <w:color w:val="000000"/>
          <w:kern w:val="0"/>
          <w:sz w:val="24"/>
        </w:rPr>
        <w:t>《平安住院（2018）团体医疗保险》</w:t>
      </w:r>
    </w:p>
    <w:p w14:paraId="09126534">
      <w:pPr>
        <w:autoSpaceDE w:val="0"/>
        <w:autoSpaceDN w:val="0"/>
        <w:adjustRightInd w:val="0"/>
        <w:spacing w:line="360" w:lineRule="auto"/>
        <w:ind w:firstLine="482" w:firstLineChars="200"/>
        <w:jc w:val="left"/>
        <w:rPr>
          <w:rFonts w:ascii="楷体" w:hAnsi="楷体" w:eastAsia="楷体" w:cs="Arial"/>
          <w:bCs/>
          <w:kern w:val="0"/>
          <w:sz w:val="24"/>
        </w:rPr>
      </w:pPr>
      <w:r>
        <w:rPr>
          <w:rFonts w:hint="eastAsia" w:ascii="楷体" w:hAnsi="楷体" w:eastAsia="楷体" w:cs="Arial"/>
          <w:b/>
          <w:kern w:val="0"/>
          <w:sz w:val="24"/>
        </w:rPr>
        <w:t>投保人为被保险人首次投保本保险或非连续投保本保险时，自本保险合同生效日起至本协议约定天数内为等待期，</w:t>
      </w:r>
      <w:r>
        <w:rPr>
          <w:rFonts w:hint="eastAsia" w:ascii="楷体" w:hAnsi="楷体" w:eastAsia="楷体" w:cs="Arial"/>
          <w:bCs/>
          <w:kern w:val="0"/>
          <w:sz w:val="24"/>
        </w:rPr>
        <w:t>投保人为被保险人连续投保本保险的或被保险人因遭受意外伤害事故进行治疗的无等待期。</w:t>
      </w:r>
    </w:p>
    <w:p w14:paraId="21C12B8C">
      <w:pPr>
        <w:autoSpaceDE w:val="0"/>
        <w:autoSpaceDN w:val="0"/>
        <w:adjustRightInd w:val="0"/>
        <w:spacing w:line="360" w:lineRule="auto"/>
        <w:ind w:firstLine="482" w:firstLineChars="200"/>
        <w:jc w:val="left"/>
        <w:rPr>
          <w:rFonts w:ascii="楷体" w:hAnsi="楷体" w:eastAsia="楷体" w:cs="Arial"/>
          <w:b/>
          <w:kern w:val="0"/>
          <w:sz w:val="24"/>
        </w:rPr>
      </w:pPr>
      <w:r>
        <w:rPr>
          <w:rFonts w:hint="eastAsia" w:ascii="楷体" w:hAnsi="楷体" w:eastAsia="楷体" w:cs="Arial"/>
          <w:b/>
          <w:kern w:val="0"/>
          <w:sz w:val="24"/>
        </w:rPr>
        <w:t>被保险人在等待期内发生疾病，由此而导致的住院治疗，无论住院治疗时间与生效之日是否间隔超过30 日，本公司均不承担给付保险金的责任。</w:t>
      </w:r>
    </w:p>
    <w:p w14:paraId="0AB0616B">
      <w:pPr>
        <w:autoSpaceDE w:val="0"/>
        <w:autoSpaceDN w:val="0"/>
        <w:adjustRightInd w:val="0"/>
        <w:spacing w:line="360" w:lineRule="auto"/>
        <w:ind w:firstLine="482" w:firstLineChars="200"/>
        <w:jc w:val="left"/>
        <w:rPr>
          <w:rFonts w:ascii="楷体" w:hAnsi="楷体" w:eastAsia="楷体" w:cs="Arial"/>
          <w:bCs/>
          <w:kern w:val="0"/>
          <w:sz w:val="24"/>
        </w:rPr>
      </w:pPr>
      <w:r>
        <w:rPr>
          <w:rFonts w:hint="eastAsia" w:ascii="楷体" w:hAnsi="楷体" w:eastAsia="楷体" w:cs="Arial"/>
          <w:b/>
          <w:kern w:val="0"/>
          <w:sz w:val="24"/>
        </w:rPr>
        <w:t>被保险人在保险期间内发生且延续至本合同满期日后30 日内</w:t>
      </w:r>
      <w:r>
        <w:rPr>
          <w:rFonts w:hint="eastAsia" w:ascii="楷体" w:hAnsi="楷体" w:eastAsia="楷体" w:cs="Arial"/>
          <w:bCs/>
          <w:kern w:val="0"/>
          <w:sz w:val="24"/>
        </w:rPr>
        <w:t>的住院治疗，本公司承担给付保险金的责任。</w:t>
      </w:r>
    </w:p>
    <w:p w14:paraId="2B960B42">
      <w:pPr>
        <w:autoSpaceDE w:val="0"/>
        <w:autoSpaceDN w:val="0"/>
        <w:adjustRightInd w:val="0"/>
        <w:spacing w:line="360" w:lineRule="auto"/>
        <w:ind w:firstLine="480" w:firstLineChars="200"/>
        <w:jc w:val="left"/>
        <w:rPr>
          <w:rFonts w:ascii="楷体" w:hAnsi="楷体" w:eastAsia="楷体" w:cs="Arial"/>
          <w:bCs/>
          <w:kern w:val="0"/>
          <w:sz w:val="24"/>
        </w:rPr>
      </w:pPr>
      <w:r>
        <w:rPr>
          <w:rFonts w:hint="eastAsia" w:ascii="楷体" w:hAnsi="楷体" w:eastAsia="楷体" w:cs="Arial"/>
          <w:bCs/>
          <w:kern w:val="0"/>
          <w:sz w:val="24"/>
        </w:rPr>
        <w:t>在本合同有效期内，除等待期期间依前款约定外，本公司承担下列保险责任：</w:t>
      </w:r>
    </w:p>
    <w:p w14:paraId="363A9E19">
      <w:pPr>
        <w:autoSpaceDE w:val="0"/>
        <w:autoSpaceDN w:val="0"/>
        <w:adjustRightInd w:val="0"/>
        <w:spacing w:line="360" w:lineRule="auto"/>
        <w:ind w:firstLine="480" w:firstLineChars="200"/>
        <w:jc w:val="left"/>
        <w:rPr>
          <w:rFonts w:ascii="楷体" w:hAnsi="楷体" w:eastAsia="楷体" w:cs="Arial"/>
          <w:bCs/>
          <w:kern w:val="0"/>
          <w:sz w:val="24"/>
        </w:rPr>
      </w:pPr>
      <w:r>
        <w:rPr>
          <w:rFonts w:hint="eastAsia" w:ascii="楷体" w:hAnsi="楷体" w:eastAsia="楷体" w:cs="Arial"/>
          <w:bCs/>
          <w:kern w:val="0"/>
          <w:sz w:val="24"/>
        </w:rPr>
        <w:t>被保险人因遭受意外伤害事故或疾病，经医院确诊必须住院治疗的，本公司就其在住院期间发生的、符合当地社会基本医疗保险规定的合理床位费、合理手术费与合理医疗费用，按本合同约定的支付范围和支付比例给付补充住院医疗保险金。</w:t>
      </w:r>
    </w:p>
    <w:p w14:paraId="01CFE4A0">
      <w:pPr>
        <w:autoSpaceDE w:val="0"/>
        <w:autoSpaceDN w:val="0"/>
        <w:adjustRightInd w:val="0"/>
        <w:spacing w:line="360" w:lineRule="auto"/>
        <w:ind w:firstLine="480" w:firstLineChars="200"/>
        <w:jc w:val="left"/>
        <w:rPr>
          <w:rFonts w:ascii="楷体" w:hAnsi="楷体" w:eastAsia="楷体" w:cs="Arial"/>
          <w:b/>
          <w:kern w:val="0"/>
          <w:sz w:val="24"/>
        </w:rPr>
      </w:pPr>
      <w:r>
        <w:rPr>
          <w:rFonts w:hint="eastAsia" w:ascii="楷体" w:hAnsi="楷体" w:eastAsia="楷体" w:cs="Arial"/>
          <w:bCs/>
          <w:kern w:val="0"/>
          <w:sz w:val="24"/>
        </w:rPr>
        <w:t>被保险人不论一次或多次住院治疗，本公司均按上述约定给付补充住院医疗保险金，</w:t>
      </w:r>
      <w:r>
        <w:rPr>
          <w:rFonts w:hint="eastAsia" w:ascii="楷体" w:hAnsi="楷体" w:eastAsia="楷体" w:cs="Arial"/>
          <w:b/>
          <w:kern w:val="0"/>
          <w:sz w:val="24"/>
        </w:rPr>
        <w:t>但累计给付金额以不超过该被保险人的保险金额为限，累计给付金额达到其保险金额时，对该被保险人保险责任终止。</w:t>
      </w:r>
    </w:p>
    <w:p w14:paraId="1F8282CD">
      <w:pPr>
        <w:autoSpaceDE w:val="0"/>
        <w:autoSpaceDN w:val="0"/>
        <w:adjustRightInd w:val="0"/>
        <w:spacing w:line="360" w:lineRule="auto"/>
        <w:ind w:firstLine="480" w:firstLineChars="200"/>
        <w:jc w:val="left"/>
        <w:rPr>
          <w:rFonts w:ascii="楷体" w:hAnsi="楷体" w:eastAsia="楷体" w:cs="Arial"/>
          <w:b/>
          <w:kern w:val="0"/>
          <w:sz w:val="24"/>
        </w:rPr>
      </w:pPr>
      <w:r>
        <w:rPr>
          <w:rFonts w:hint="eastAsia" w:ascii="楷体" w:hAnsi="楷体" w:eastAsia="楷体" w:cs="Arial"/>
          <w:bCs/>
          <w:kern w:val="0"/>
          <w:sz w:val="24"/>
        </w:rPr>
        <w:t>本公司在本合同保险责任范围内给付保险金，</w:t>
      </w:r>
      <w:r>
        <w:rPr>
          <w:rFonts w:hint="eastAsia" w:ascii="楷体" w:hAnsi="楷体" w:eastAsia="楷体" w:cs="Arial"/>
          <w:b/>
          <w:kern w:val="0"/>
          <w:sz w:val="24"/>
        </w:rPr>
        <w:t>但若被保险人已从其它途径（包括社会医疗保险机构、工作单位、本公司在内的任何商业保险机构等）取得补偿，本公司给付的金额以不超过该被保险人发生的、符合当地社会基本医疗保险规定的合理床位费、合理手术费与合理医疗费用扣除其所获补偿后的余额为限。</w:t>
      </w:r>
    </w:p>
    <w:p w14:paraId="6CE0C08C">
      <w:pPr>
        <w:pStyle w:val="7"/>
        <w:widowControl/>
        <w:numPr>
          <w:ilvl w:val="0"/>
          <w:numId w:val="3"/>
        </w:numPr>
        <w:spacing w:line="360" w:lineRule="auto"/>
        <w:ind w:firstLineChars="0"/>
        <w:jc w:val="left"/>
        <w:outlineLvl w:val="2"/>
        <w:rPr>
          <w:rFonts w:ascii="楷体" w:hAnsi="楷体" w:eastAsia="楷体" w:cs="Arial"/>
          <w:b/>
          <w:kern w:val="0"/>
          <w:sz w:val="24"/>
        </w:rPr>
      </w:pPr>
      <w:r>
        <w:rPr>
          <w:rFonts w:hint="eastAsia" w:ascii="楷体" w:hAnsi="楷体" w:eastAsia="楷体" w:cs="Arial"/>
          <w:b/>
          <w:kern w:val="0"/>
          <w:sz w:val="24"/>
        </w:rPr>
        <w:t>《平安附加门诊急诊（2018）团体医疗保险》</w:t>
      </w:r>
    </w:p>
    <w:p w14:paraId="0547B60C">
      <w:pPr>
        <w:autoSpaceDE w:val="0"/>
        <w:autoSpaceDN w:val="0"/>
        <w:adjustRightInd w:val="0"/>
        <w:spacing w:line="360" w:lineRule="auto"/>
        <w:ind w:firstLine="482" w:firstLineChars="200"/>
        <w:jc w:val="left"/>
        <w:rPr>
          <w:rFonts w:ascii="楷体" w:hAnsi="楷体" w:eastAsia="楷体" w:cs="Arial"/>
          <w:color w:val="000000"/>
          <w:sz w:val="24"/>
        </w:rPr>
      </w:pPr>
      <w:r>
        <w:rPr>
          <w:rFonts w:hint="eastAsia" w:ascii="楷体" w:hAnsi="楷体" w:eastAsia="楷体" w:cs="Arial"/>
          <w:b/>
          <w:kern w:val="0"/>
          <w:sz w:val="24"/>
        </w:rPr>
        <w:t>投保人为被保险人首次投保本保险或非连续投保本保险时，自本保险合同生效日起至本协议约定天数内为等待期</w:t>
      </w:r>
      <w:r>
        <w:rPr>
          <w:rFonts w:hint="eastAsia" w:ascii="楷体" w:hAnsi="楷体" w:eastAsia="楷体" w:cs="Arial"/>
          <w:color w:val="000000"/>
          <w:sz w:val="24"/>
        </w:rPr>
        <w:t>，投保人为被保险人连续投保本保险的或被保险人因遭受意外伤害事故进行治疗的无等待期。</w:t>
      </w:r>
    </w:p>
    <w:p w14:paraId="2B1F8F27">
      <w:pPr>
        <w:autoSpaceDE w:val="0"/>
        <w:autoSpaceDN w:val="0"/>
        <w:adjustRightInd w:val="0"/>
        <w:spacing w:line="360" w:lineRule="auto"/>
        <w:ind w:firstLine="482" w:firstLineChars="200"/>
        <w:jc w:val="left"/>
        <w:rPr>
          <w:rFonts w:ascii="楷体" w:hAnsi="楷体" w:eastAsia="楷体" w:cs="Arial"/>
          <w:b/>
          <w:color w:val="000000"/>
          <w:sz w:val="24"/>
        </w:rPr>
      </w:pPr>
      <w:r>
        <w:rPr>
          <w:rFonts w:hint="eastAsia" w:ascii="楷体" w:hAnsi="楷体" w:eastAsia="楷体" w:cs="Arial"/>
          <w:b/>
          <w:color w:val="000000"/>
          <w:sz w:val="24"/>
        </w:rPr>
        <w:t>被保险人在等待期内发生疾病，由此而导致的门诊急诊治疗，本公司不承担给付保险金的责任。</w:t>
      </w:r>
    </w:p>
    <w:p w14:paraId="74C385C2">
      <w:pPr>
        <w:autoSpaceDE w:val="0"/>
        <w:autoSpaceDN w:val="0"/>
        <w:adjustRightInd w:val="0"/>
        <w:spacing w:line="360" w:lineRule="auto"/>
        <w:ind w:firstLine="480" w:firstLineChars="200"/>
        <w:jc w:val="left"/>
        <w:rPr>
          <w:rFonts w:ascii="楷体" w:hAnsi="楷体" w:eastAsia="楷体" w:cs="Arial"/>
          <w:color w:val="000000"/>
          <w:sz w:val="24"/>
        </w:rPr>
      </w:pPr>
      <w:r>
        <w:rPr>
          <w:rFonts w:hint="eastAsia" w:ascii="楷体" w:hAnsi="楷体" w:eastAsia="楷体" w:cs="Arial"/>
          <w:color w:val="000000"/>
          <w:sz w:val="24"/>
        </w:rPr>
        <w:t>在本合同有效期内，除等待期期间依前款约定外，本公司承担下列保险责任：</w:t>
      </w:r>
    </w:p>
    <w:p w14:paraId="0BEF6555">
      <w:pPr>
        <w:autoSpaceDE w:val="0"/>
        <w:autoSpaceDN w:val="0"/>
        <w:adjustRightInd w:val="0"/>
        <w:spacing w:line="360" w:lineRule="auto"/>
        <w:ind w:firstLine="480" w:firstLineChars="200"/>
        <w:jc w:val="left"/>
        <w:rPr>
          <w:rFonts w:ascii="楷体" w:hAnsi="楷体" w:eastAsia="楷体" w:cs="Arial"/>
          <w:color w:val="000000"/>
          <w:sz w:val="24"/>
        </w:rPr>
      </w:pPr>
      <w:r>
        <w:rPr>
          <w:rFonts w:hint="eastAsia" w:ascii="楷体" w:hAnsi="楷体" w:eastAsia="楷体" w:cs="Arial"/>
          <w:color w:val="000000"/>
          <w:sz w:val="24"/>
        </w:rPr>
        <w:t>被保险人因遭受意外伤害事故或疾病，在医院治疗发生的、符合当地社会基本医疗保险规定的、合理的门诊急诊医疗费用，本公司按约定的支付范围和支付比例给付补充门诊急诊医疗保险金。</w:t>
      </w:r>
    </w:p>
    <w:p w14:paraId="7A0F191C">
      <w:pPr>
        <w:autoSpaceDE w:val="0"/>
        <w:autoSpaceDN w:val="0"/>
        <w:adjustRightInd w:val="0"/>
        <w:spacing w:line="360" w:lineRule="auto"/>
        <w:ind w:firstLine="480" w:firstLineChars="200"/>
        <w:jc w:val="left"/>
        <w:rPr>
          <w:rFonts w:ascii="楷体" w:hAnsi="楷体" w:eastAsia="楷体" w:cs="Arial"/>
          <w:color w:val="000000"/>
          <w:sz w:val="24"/>
        </w:rPr>
      </w:pPr>
      <w:r>
        <w:rPr>
          <w:rFonts w:hint="eastAsia" w:ascii="楷体" w:hAnsi="楷体" w:eastAsia="楷体" w:cs="Arial"/>
          <w:color w:val="000000"/>
          <w:sz w:val="24"/>
        </w:rPr>
        <w:t>被保险人不论一次或多次接受门诊急诊治疗，本公司均按上述约定给付补充门诊急诊医疗保险金，</w:t>
      </w:r>
      <w:r>
        <w:rPr>
          <w:rFonts w:hint="eastAsia" w:ascii="楷体" w:hAnsi="楷体" w:eastAsia="楷体" w:cs="Arial"/>
          <w:b/>
          <w:color w:val="000000"/>
          <w:sz w:val="24"/>
        </w:rPr>
        <w:t>但累计给付金额以不超过该被保险人的保险金额为限，累计给付金额达到其保险金额时，对该被保险人保险责任终止。</w:t>
      </w:r>
    </w:p>
    <w:p w14:paraId="6B3A4235">
      <w:pPr>
        <w:pStyle w:val="7"/>
        <w:widowControl/>
        <w:numPr>
          <w:ilvl w:val="0"/>
          <w:numId w:val="3"/>
        </w:numPr>
        <w:spacing w:line="360" w:lineRule="auto"/>
        <w:ind w:firstLineChars="0"/>
        <w:jc w:val="left"/>
        <w:outlineLvl w:val="2"/>
        <w:rPr>
          <w:rFonts w:ascii="楷体" w:hAnsi="楷体" w:eastAsia="楷体" w:cs="Arial"/>
          <w:b/>
          <w:kern w:val="0"/>
          <w:sz w:val="24"/>
        </w:rPr>
      </w:pPr>
      <w:r>
        <w:rPr>
          <w:rFonts w:hint="eastAsia" w:ascii="楷体" w:hAnsi="楷体" w:eastAsia="楷体" w:cs="Arial"/>
          <w:color w:val="000000"/>
          <w:sz w:val="24"/>
        </w:rPr>
        <w:t>本公司在本合同保险责任范围内给付保险金，</w:t>
      </w:r>
      <w:r>
        <w:rPr>
          <w:rFonts w:hint="eastAsia" w:ascii="楷体" w:hAnsi="楷体" w:eastAsia="楷体" w:cs="Arial"/>
          <w:b/>
          <w:bCs/>
          <w:color w:val="000000"/>
          <w:sz w:val="24"/>
        </w:rPr>
        <w:t>但若被保险人已从其它途径（包括社会医疗保险机构、工作单位、本公司在内的任何商业保险机构等）取得补偿，本公司给付的金额以不超过该被保险人发生的、符合当地社会基本医疗保险规定的合理医疗费用扣除其所获补偿后的余额为限。</w:t>
      </w:r>
      <w:r>
        <w:rPr>
          <w:rFonts w:hint="eastAsia" w:ascii="楷体" w:hAnsi="楷体" w:eastAsia="楷体" w:cs="Arial"/>
          <w:b/>
          <w:kern w:val="0"/>
          <w:sz w:val="24"/>
        </w:rPr>
        <w:t>《齿科责任》</w:t>
      </w:r>
    </w:p>
    <w:p w14:paraId="350ADD39">
      <w:pPr>
        <w:pStyle w:val="8"/>
        <w:spacing w:line="360" w:lineRule="auto"/>
        <w:ind w:firstLine="480" w:firstLineChars="200"/>
        <w:rPr>
          <w:rFonts w:ascii="楷体" w:hAnsi="楷体" w:eastAsia="楷体" w:cs="Arial"/>
        </w:rPr>
      </w:pPr>
      <w:r>
        <w:rPr>
          <w:rFonts w:hint="eastAsia" w:ascii="楷体" w:hAnsi="楷体" w:eastAsia="楷体"/>
        </w:rPr>
        <w:t>在本保险有效期间内，被保险人</w:t>
      </w:r>
      <w:r>
        <w:rPr>
          <w:rFonts w:hint="eastAsia" w:ascii="楷体" w:hAnsi="楷体" w:eastAsia="楷体" w:cs="Arial"/>
        </w:rPr>
        <w:t>因龋病、牙髓病、牙隐裂所引起的补牙、治牙神经、拔牙、阻生齿治疗以及牙周组织疾病，如牙周炎、牙龈炎、根周炎等治疗</w:t>
      </w:r>
      <w:r>
        <w:rPr>
          <w:rFonts w:hint="eastAsia" w:ascii="楷体" w:hAnsi="楷体" w:eastAsia="楷体" w:cs="Arial"/>
          <w:b/>
        </w:rPr>
        <w:t>（洁牙治疗、牙体缺损修复治疗、冠修复治疗除外）</w:t>
      </w:r>
      <w:r>
        <w:rPr>
          <w:rFonts w:hint="eastAsia" w:ascii="楷体" w:hAnsi="楷体" w:eastAsia="楷体" w:cs="Arial"/>
        </w:rPr>
        <w:t>所发生医保范围内的合理医疗费用，属于保险责任范围。</w:t>
      </w:r>
      <w:r>
        <w:rPr>
          <w:rFonts w:hint="eastAsia" w:ascii="楷体" w:hAnsi="楷体" w:eastAsia="楷体" w:cs="Arial"/>
          <w:b/>
          <w:bCs/>
        </w:rPr>
        <w:t>不涵盖治疗性洁牙。</w:t>
      </w:r>
    </w:p>
    <w:p w14:paraId="7CD591D2">
      <w:pPr>
        <w:spacing w:line="360" w:lineRule="auto"/>
        <w:ind w:firstLine="482" w:firstLineChars="200"/>
        <w:rPr>
          <w:rFonts w:ascii="楷体" w:hAnsi="楷体" w:eastAsia="楷体" w:cs="Arial"/>
          <w:b/>
          <w:kern w:val="0"/>
          <w:sz w:val="24"/>
        </w:rPr>
      </w:pPr>
      <w:r>
        <w:rPr>
          <w:rFonts w:hint="eastAsia" w:ascii="楷体" w:hAnsi="楷体" w:eastAsia="楷体" w:cs="Arial"/>
          <w:b/>
          <w:kern w:val="0"/>
          <w:sz w:val="24"/>
        </w:rPr>
        <w:t>被保险人因牙护理，如洗牙、种植牙、牙移植、义齿、镶牙、牙体缺损修复、烤瓷牙、洁牙等发生的医疗费用，以及口腔修复、口腔正畸、口腔保健及口腔美容所发生的费用均为免除责任范围。</w:t>
      </w:r>
    </w:p>
    <w:p w14:paraId="43F650BF">
      <w:pPr>
        <w:pStyle w:val="7"/>
        <w:numPr>
          <w:ilvl w:val="0"/>
          <w:numId w:val="4"/>
        </w:numPr>
        <w:spacing w:line="360" w:lineRule="auto"/>
        <w:ind w:firstLineChars="0"/>
        <w:outlineLvl w:val="1"/>
        <w:rPr>
          <w:rFonts w:ascii="楷体" w:hAnsi="楷体" w:eastAsia="楷体" w:cs="Arial"/>
          <w:color w:val="000000"/>
          <w:kern w:val="0"/>
          <w:sz w:val="24"/>
        </w:rPr>
      </w:pPr>
      <w:r>
        <w:rPr>
          <w:rFonts w:hint="eastAsia" w:ascii="楷体" w:hAnsi="楷体" w:eastAsia="楷体" w:cs="Arial"/>
          <w:color w:val="000000"/>
          <w:kern w:val="0"/>
          <w:sz w:val="24"/>
        </w:rPr>
        <w:t>其他特别约定</w:t>
      </w:r>
    </w:p>
    <w:p w14:paraId="0BAEF8DB">
      <w:pPr>
        <w:pStyle w:val="2"/>
        <w:keepNext w:val="0"/>
        <w:keepLines w:val="0"/>
        <w:spacing w:before="0" w:after="0" w:line="360" w:lineRule="auto"/>
        <w:rPr>
          <w:rFonts w:ascii="楷体" w:hAnsi="楷体" w:eastAsia="楷体" w:cs="Arial"/>
          <w:color w:val="000000"/>
          <w:kern w:val="0"/>
          <w:sz w:val="24"/>
        </w:rPr>
      </w:pPr>
      <w:r>
        <w:rPr>
          <w:rFonts w:hint="eastAsia" w:ascii="楷体" w:hAnsi="楷体" w:eastAsia="楷体" w:cs="Arial"/>
          <w:color w:val="000000"/>
          <w:kern w:val="0"/>
          <w:sz w:val="24"/>
        </w:rPr>
        <w:t>【规则解释】</w:t>
      </w:r>
    </w:p>
    <w:p w14:paraId="5B849703">
      <w:pPr>
        <w:adjustRightInd w:val="0"/>
        <w:snapToGrid w:val="0"/>
        <w:spacing w:line="360" w:lineRule="auto"/>
        <w:rPr>
          <w:rFonts w:ascii="楷体" w:hAnsi="楷体" w:eastAsia="楷体" w:cs="Arial"/>
          <w:sz w:val="24"/>
        </w:rPr>
      </w:pPr>
      <w:r>
        <w:rPr>
          <w:rFonts w:hint="eastAsia" w:ascii="楷体" w:hAnsi="楷体" w:eastAsia="楷体" w:cs="Arial"/>
          <w:sz w:val="24"/>
        </w:rPr>
        <w:t>1、保险责任中的“次”定义为“被保险人在一日（零时起至二十四时止）在同一所医院同一个科室的就诊。”/指每一日零时起至二十四时止/指每次意外事故。</w:t>
      </w:r>
    </w:p>
    <w:p w14:paraId="2D54C545">
      <w:pPr>
        <w:autoSpaceDE w:val="0"/>
        <w:autoSpaceDN w:val="0"/>
        <w:adjustRightInd w:val="0"/>
        <w:spacing w:line="360" w:lineRule="auto"/>
        <w:jc w:val="left"/>
        <w:rPr>
          <w:rFonts w:ascii="楷体" w:hAnsi="楷体" w:eastAsia="楷体" w:cs="Arial"/>
          <w:sz w:val="24"/>
        </w:rPr>
      </w:pPr>
      <w:r>
        <w:rPr>
          <w:rFonts w:hint="eastAsia" w:ascii="楷体" w:hAnsi="楷体" w:eastAsia="楷体" w:cs="Arial"/>
          <w:sz w:val="24"/>
        </w:rPr>
        <w:t>2、如责任描述内的免赔条件或承保范围等与保障计划表内有不同，</w:t>
      </w:r>
      <w:r>
        <w:rPr>
          <w:rFonts w:hint="eastAsia" w:ascii="楷体" w:hAnsi="楷体" w:eastAsia="楷体" w:cs="Arial"/>
          <w:b/>
          <w:sz w:val="24"/>
        </w:rPr>
        <w:t>以保障计划表内的描述为准</w:t>
      </w:r>
      <w:r>
        <w:rPr>
          <w:rFonts w:hint="eastAsia" w:ascii="楷体" w:hAnsi="楷体" w:eastAsia="楷体" w:cs="Arial"/>
          <w:sz w:val="24"/>
        </w:rPr>
        <w:t>。</w:t>
      </w:r>
    </w:p>
    <w:p w14:paraId="1DB32CDC">
      <w:pPr>
        <w:adjustRightInd w:val="0"/>
        <w:snapToGrid w:val="0"/>
        <w:spacing w:line="360" w:lineRule="auto"/>
        <w:rPr>
          <w:rFonts w:ascii="楷体" w:hAnsi="楷体" w:eastAsia="楷体" w:cs="Arial"/>
          <w:sz w:val="24"/>
        </w:rPr>
      </w:pPr>
      <w:r>
        <w:rPr>
          <w:rFonts w:ascii="楷体" w:hAnsi="楷体" w:eastAsia="楷体" w:cs="Arial"/>
          <w:sz w:val="24"/>
        </w:rPr>
        <w:t>3</w:t>
      </w:r>
      <w:r>
        <w:rPr>
          <w:rFonts w:hint="eastAsia" w:ascii="楷体" w:hAnsi="楷体" w:eastAsia="楷体" w:cs="Arial"/>
          <w:sz w:val="24"/>
        </w:rPr>
        <w:t>、住院事后理赔案件或赔付金额大于1万元人民币的非住院事后理赔案件需要提供身份证明复印件。</w:t>
      </w:r>
    </w:p>
    <w:p w14:paraId="087418B8">
      <w:pPr>
        <w:adjustRightInd w:val="0"/>
        <w:spacing w:before="156" w:beforeLines="50" w:after="156" w:afterLines="50" w:line="288" w:lineRule="auto"/>
        <w:contextualSpacing/>
        <w:outlineLvl w:val="2"/>
        <w:rPr>
          <w:rFonts w:ascii="楷体" w:hAnsi="楷体" w:eastAsia="楷体" w:cs="Arial"/>
          <w:b/>
          <w:sz w:val="24"/>
        </w:rPr>
      </w:pPr>
      <w:r>
        <w:rPr>
          <w:rFonts w:ascii="楷体" w:hAnsi="楷体" w:eastAsia="楷体" w:cs="Arial"/>
          <w:sz w:val="24"/>
        </w:rPr>
        <w:t>4</w:t>
      </w:r>
      <w:r>
        <w:rPr>
          <w:rFonts w:hint="eastAsia" w:ascii="楷体" w:hAnsi="楷体" w:eastAsia="楷体" w:cs="Arial"/>
          <w:sz w:val="24"/>
        </w:rPr>
        <w:t>、医保卡使用规则：</w:t>
      </w:r>
    </w:p>
    <w:p w14:paraId="6BA5DDF2">
      <w:pPr>
        <w:adjustRightInd w:val="0"/>
        <w:snapToGrid w:val="0"/>
        <w:spacing w:line="360" w:lineRule="auto"/>
        <w:rPr>
          <w:rFonts w:ascii="楷体" w:hAnsi="楷体" w:eastAsia="楷体" w:cs="Arial"/>
          <w:b/>
          <w:color w:val="FF0000"/>
          <w:sz w:val="24"/>
        </w:rPr>
      </w:pPr>
      <w:r>
        <w:rPr>
          <w:rFonts w:hint="eastAsia" w:ascii="楷体" w:hAnsi="楷体" w:eastAsia="楷体" w:cs="Arial"/>
          <w:sz w:val="24"/>
        </w:rPr>
        <w:t>（1）投保有社保计划的被保险人需要持社保卡就医，并经医保结算后申请理赔。</w:t>
      </w:r>
      <w:r>
        <w:rPr>
          <w:rFonts w:hint="eastAsia" w:ascii="楷体" w:hAnsi="楷体" w:eastAsia="楷体" w:cs="Arial"/>
          <w:b/>
          <w:sz w:val="24"/>
        </w:rPr>
        <w:t>如不持社保卡就医或未经医保先行分割结算，保险公司不予赔付。</w:t>
      </w:r>
    </w:p>
    <w:p w14:paraId="0119A9FC">
      <w:pPr>
        <w:adjustRightInd w:val="0"/>
        <w:snapToGrid w:val="0"/>
        <w:spacing w:line="360" w:lineRule="auto"/>
        <w:rPr>
          <w:rFonts w:ascii="楷体" w:hAnsi="楷体" w:eastAsia="楷体" w:cs="Arial"/>
          <w:bCs/>
          <w:sz w:val="24"/>
        </w:rPr>
      </w:pPr>
      <w:r>
        <w:rPr>
          <w:rFonts w:hint="eastAsia" w:ascii="楷体" w:hAnsi="楷体" w:eastAsia="楷体" w:cs="Arial"/>
          <w:bCs/>
          <w:sz w:val="24"/>
        </w:rPr>
        <w:t>（</w:t>
      </w:r>
      <w:r>
        <w:rPr>
          <w:rFonts w:ascii="楷体" w:hAnsi="楷体" w:eastAsia="楷体" w:cs="Arial"/>
          <w:bCs/>
          <w:sz w:val="24"/>
        </w:rPr>
        <w:t>2</w:t>
      </w:r>
      <w:r>
        <w:rPr>
          <w:rFonts w:hint="eastAsia" w:ascii="楷体" w:hAnsi="楷体" w:eastAsia="楷体" w:cs="Arial"/>
          <w:bCs/>
          <w:sz w:val="24"/>
        </w:rPr>
        <w:t>）急诊门诊、急诊住院：在符合就诊要求和责任释义范围内，可不使用医保卡就诊，但需在指定医院就诊。</w:t>
      </w:r>
    </w:p>
    <w:p w14:paraId="55408A7E">
      <w:pPr>
        <w:adjustRightInd w:val="0"/>
        <w:snapToGrid w:val="0"/>
        <w:spacing w:line="360" w:lineRule="auto"/>
        <w:rPr>
          <w:rFonts w:ascii="楷体" w:hAnsi="楷体" w:eastAsia="楷体" w:cs="Arial"/>
          <w:b/>
          <w:sz w:val="24"/>
        </w:rPr>
      </w:pPr>
      <w:r>
        <w:rPr>
          <w:rFonts w:ascii="楷体" w:hAnsi="楷体" w:eastAsia="楷体" w:cs="Arial"/>
          <w:sz w:val="24"/>
        </w:rPr>
        <w:t>5</w:t>
      </w:r>
      <w:r>
        <w:rPr>
          <w:rFonts w:hint="eastAsia" w:ascii="楷体" w:hAnsi="楷体" w:eastAsia="楷体" w:cs="Arial"/>
          <w:sz w:val="24"/>
        </w:rPr>
        <w:t>、门诊、住院医疗异地就诊约定：</w:t>
      </w:r>
    </w:p>
    <w:p w14:paraId="280DEE19">
      <w:pPr>
        <w:pStyle w:val="7"/>
        <w:numPr>
          <w:ilvl w:val="0"/>
          <w:numId w:val="5"/>
        </w:numPr>
        <w:adjustRightInd w:val="0"/>
        <w:snapToGrid w:val="0"/>
        <w:spacing w:line="360" w:lineRule="auto"/>
        <w:ind w:left="0" w:firstLine="0" w:firstLineChars="0"/>
        <w:rPr>
          <w:rFonts w:ascii="楷体" w:hAnsi="楷体" w:eastAsia="楷体" w:cs="Arial"/>
          <w:sz w:val="24"/>
        </w:rPr>
      </w:pPr>
      <w:r>
        <w:rPr>
          <w:rFonts w:hint="eastAsia" w:ascii="楷体" w:hAnsi="楷体" w:eastAsia="楷体" w:cs="Arial"/>
          <w:sz w:val="24"/>
        </w:rPr>
        <w:t>由于工作等原因长驻非投保地的被保险人，需按照投保当地社会基本医疗保险管理规定申办异地就诊申请（医保提前迁移）。经投保当地社保管理机构审批同意后，保险人对发生在工作所在地的协议约定范围内医疗机构，符合投保当地社会基本医疗保险管理规定的由个人医保异地就诊合理医疗费用，按照门诊、住院医疗责任约定承担相应保险责任；如未办理异地医保迁移，视为无医保结算，无法正常赔付。</w:t>
      </w:r>
    </w:p>
    <w:p w14:paraId="39740542">
      <w:pPr>
        <w:pStyle w:val="7"/>
        <w:numPr>
          <w:ilvl w:val="0"/>
          <w:numId w:val="5"/>
        </w:numPr>
        <w:adjustRightInd w:val="0"/>
        <w:snapToGrid w:val="0"/>
        <w:spacing w:line="360" w:lineRule="auto"/>
        <w:ind w:left="0" w:firstLine="0" w:firstLineChars="0"/>
        <w:rPr>
          <w:rFonts w:ascii="楷体" w:hAnsi="楷体" w:eastAsia="楷体" w:cs="Arial"/>
          <w:sz w:val="24"/>
        </w:rPr>
      </w:pPr>
      <w:r>
        <w:rPr>
          <w:rFonts w:hint="eastAsia" w:ascii="楷体" w:hAnsi="楷体" w:eastAsia="楷体" w:cs="Arial"/>
          <w:sz w:val="24"/>
        </w:rPr>
        <w:t>被保险人由于出差、休假期间确因病情需要，在非投保地协议约定范围内医疗机构因急诊、住院发生的医疗费用，保险人对符合投保当地社会基本医疗保险管理规定的由个人自负的异地就诊合理医疗费用按照对应医疗责任约定承担相应保险责任；</w:t>
      </w:r>
    </w:p>
    <w:p w14:paraId="32FA7617">
      <w:pPr>
        <w:pStyle w:val="7"/>
        <w:numPr>
          <w:ilvl w:val="0"/>
          <w:numId w:val="5"/>
        </w:numPr>
        <w:adjustRightInd w:val="0"/>
        <w:snapToGrid w:val="0"/>
        <w:spacing w:line="360" w:lineRule="auto"/>
        <w:ind w:left="0" w:firstLine="0" w:firstLineChars="0"/>
        <w:rPr>
          <w:rFonts w:ascii="楷体" w:hAnsi="楷体" w:eastAsia="楷体" w:cs="Arial"/>
          <w:sz w:val="24"/>
        </w:rPr>
      </w:pPr>
      <w:r>
        <w:rPr>
          <w:rFonts w:hint="eastAsia" w:ascii="楷体" w:hAnsi="楷体" w:eastAsia="楷体" w:cs="Arial"/>
          <w:sz w:val="24"/>
        </w:rPr>
        <w:t>理赔申请时需提供甲方公司人力资源或人事部门出具的出差、休假等证明资料（已办理医保提前迁移的被保险人无需提供此材料）。</w:t>
      </w:r>
    </w:p>
    <w:p w14:paraId="4D912446">
      <w:pPr>
        <w:adjustRightInd w:val="0"/>
        <w:snapToGrid w:val="0"/>
        <w:spacing w:line="360" w:lineRule="auto"/>
        <w:rPr>
          <w:rFonts w:ascii="楷体" w:hAnsi="楷体" w:eastAsia="楷体" w:cs="Arial"/>
          <w:b/>
          <w:sz w:val="24"/>
        </w:rPr>
      </w:pPr>
      <w:r>
        <w:rPr>
          <w:rFonts w:ascii="楷体" w:hAnsi="楷体" w:eastAsia="楷体" w:cs="Arial"/>
          <w:sz w:val="24"/>
        </w:rPr>
        <w:t>6</w:t>
      </w:r>
      <w:r>
        <w:rPr>
          <w:rFonts w:hint="eastAsia" w:ascii="楷体" w:hAnsi="楷体" w:eastAsia="楷体" w:cs="Arial"/>
          <w:sz w:val="24"/>
        </w:rPr>
        <w:t>、交通事故住院医疗费用：</w:t>
      </w:r>
      <w:r>
        <w:rPr>
          <w:rFonts w:hint="eastAsia" w:ascii="楷体" w:hAnsi="楷体" w:eastAsia="楷体"/>
          <w:sz w:val="24"/>
        </w:rPr>
        <w:t>对于被保险人因遭受交通事故导致的意外伤害所支出的医疗费用（</w:t>
      </w:r>
      <w:r>
        <w:rPr>
          <w:rFonts w:hint="eastAsia" w:ascii="楷体" w:hAnsi="楷体" w:eastAsia="楷体"/>
          <w:b/>
          <w:sz w:val="24"/>
        </w:rPr>
        <w:t>在涉及第三方责任的情况下，被保险人获得部分赔偿的，或已经获得社保医疗险的赔付的，保险人将扣除前述已赔偿费用，再</w:t>
      </w:r>
      <w:bookmarkStart w:id="0" w:name="OLE_LINK2"/>
      <w:bookmarkStart w:id="1" w:name="OLE_LINK1"/>
      <w:r>
        <w:rPr>
          <w:rFonts w:hint="eastAsia" w:ascii="楷体" w:hAnsi="楷体" w:eastAsia="楷体"/>
          <w:b/>
          <w:sz w:val="24"/>
        </w:rPr>
        <w:t>对剩余的保险责任范围内的费用按约定比例和限额给付医疗保险金</w:t>
      </w:r>
      <w:bookmarkEnd w:id="0"/>
      <w:bookmarkEnd w:id="1"/>
      <w:r>
        <w:rPr>
          <w:rFonts w:hint="eastAsia" w:ascii="楷体" w:hAnsi="楷体" w:eastAsia="楷体"/>
          <w:b/>
          <w:sz w:val="24"/>
        </w:rPr>
        <w:t>；</w:t>
      </w:r>
      <w:r>
        <w:rPr>
          <w:rFonts w:hint="eastAsia" w:ascii="楷体" w:hAnsi="楷体" w:eastAsia="楷体"/>
          <w:sz w:val="24"/>
        </w:rPr>
        <w:t>如被保险人不能获得社会医疗保险保障，或被保险人支出的医疗费用中依法应由第三者赔偿部分由于肇事者逃逸或责任人无赔偿能力的情况下，投保人需提供保险人可以接受的法院或交通管理部门的证明文件，保险人将对保险责任范围内的费用按约定比例和限额给付医疗保险金。</w:t>
      </w:r>
    </w:p>
    <w:p w14:paraId="526FF813">
      <w:pPr>
        <w:widowControl/>
        <w:spacing w:line="360" w:lineRule="auto"/>
        <w:ind w:left="142"/>
        <w:jc w:val="left"/>
        <w:rPr>
          <w:rFonts w:ascii="楷体" w:hAnsi="楷体" w:eastAsia="楷体" w:cs="宋体"/>
          <w:b/>
          <w:kern w:val="0"/>
          <w:sz w:val="24"/>
        </w:rPr>
      </w:pPr>
      <w:r>
        <w:rPr>
          <w:rFonts w:ascii="楷体" w:hAnsi="楷体" w:eastAsia="楷体" w:cs="Arial"/>
          <w:b/>
          <w:sz w:val="24"/>
        </w:rPr>
        <w:t>7</w:t>
      </w:r>
      <w:r>
        <w:rPr>
          <w:rFonts w:hint="eastAsia" w:ascii="楷体" w:hAnsi="楷体" w:eastAsia="楷体" w:cs="宋体"/>
          <w:b/>
          <w:kern w:val="0"/>
          <w:sz w:val="24"/>
        </w:rPr>
        <w:t>、转保医疗费用分摊原则约定：</w:t>
      </w:r>
    </w:p>
    <w:p w14:paraId="390EAC94">
      <w:pPr>
        <w:widowControl/>
        <w:spacing w:line="360" w:lineRule="auto"/>
        <w:ind w:left="142"/>
        <w:jc w:val="left"/>
        <w:rPr>
          <w:rFonts w:ascii="楷体" w:hAnsi="楷体" w:eastAsia="楷体" w:cs="宋体"/>
          <w:b/>
          <w:kern w:val="0"/>
          <w:sz w:val="24"/>
        </w:rPr>
      </w:pPr>
      <w:r>
        <w:rPr>
          <w:rFonts w:hint="eastAsia" w:ascii="楷体" w:hAnsi="楷体" w:eastAsia="楷体" w:cs="宋体"/>
          <w:b/>
          <w:kern w:val="0"/>
          <w:sz w:val="24"/>
        </w:rPr>
        <w:t>保险生效日之前，被保险人已遭受的意外伤害、已患的疾病或正在住院治疗，保险人按本协议承担自保险生效之日起的医疗保险责任；对于跨保险年度的住院费用，若医疗费用无法按照日期区分的，按住院天数的比例与上一家保险公司进行分摊。</w:t>
      </w:r>
    </w:p>
    <w:p w14:paraId="11865CBB">
      <w:pPr>
        <w:widowControl/>
        <w:spacing w:line="360" w:lineRule="auto"/>
        <w:ind w:left="142"/>
        <w:jc w:val="left"/>
        <w:rPr>
          <w:rFonts w:ascii="楷体" w:hAnsi="楷体" w:eastAsia="楷体" w:cs="宋体"/>
          <w:b/>
          <w:kern w:val="0"/>
          <w:sz w:val="24"/>
        </w:rPr>
      </w:pPr>
      <w:r>
        <w:rPr>
          <w:rFonts w:ascii="楷体" w:hAnsi="楷体" w:eastAsia="楷体" w:cs="宋体"/>
          <w:b/>
          <w:kern w:val="0"/>
          <w:sz w:val="24"/>
        </w:rPr>
        <w:t>8</w:t>
      </w:r>
      <w:r>
        <w:rPr>
          <w:rFonts w:hint="eastAsia" w:ascii="楷体" w:hAnsi="楷体" w:eastAsia="楷体" w:cs="宋体"/>
          <w:b/>
          <w:kern w:val="0"/>
          <w:sz w:val="24"/>
        </w:rPr>
        <w:t>、被保险人在本次投保前已患《平安团体重大疾病保险（2021版）（A款）》条款所指33种重大疾病，保险人对保险期间内被保险人罹患的任何重大疾病均不承担保险责任。</w:t>
      </w:r>
    </w:p>
    <w:p w14:paraId="0CAF3C9C">
      <w:pPr>
        <w:widowControl/>
        <w:spacing w:line="360" w:lineRule="auto"/>
        <w:jc w:val="left"/>
        <w:rPr>
          <w:rFonts w:ascii="楷体" w:hAnsi="楷体" w:eastAsia="楷体" w:cs="宋体"/>
          <w:b/>
          <w:kern w:val="0"/>
          <w:sz w:val="24"/>
        </w:rPr>
      </w:pPr>
      <w:r>
        <w:rPr>
          <w:rFonts w:ascii="楷体" w:hAnsi="楷体" w:eastAsia="楷体" w:cs="宋体"/>
          <w:b/>
          <w:kern w:val="0"/>
          <w:sz w:val="24"/>
        </w:rPr>
        <w:t>9</w:t>
      </w:r>
      <w:r>
        <w:rPr>
          <w:rFonts w:hint="eastAsia" w:ascii="楷体" w:hAnsi="楷体" w:eastAsia="楷体" w:cs="宋体"/>
          <w:b/>
          <w:kern w:val="0"/>
          <w:sz w:val="24"/>
        </w:rPr>
        <w:t>、理赔规则：</w:t>
      </w:r>
    </w:p>
    <w:p w14:paraId="39B4F1AE">
      <w:pPr>
        <w:spacing w:line="360" w:lineRule="auto"/>
        <w:ind w:firstLine="482" w:firstLineChars="200"/>
        <w:rPr>
          <w:rFonts w:ascii="楷体" w:hAnsi="楷体" w:eastAsia="楷体"/>
          <w:b/>
          <w:bCs/>
          <w:sz w:val="24"/>
        </w:rPr>
      </w:pPr>
      <w:r>
        <w:rPr>
          <w:rFonts w:hint="eastAsia" w:ascii="楷体" w:hAnsi="楷体" w:eastAsia="楷体"/>
          <w:b/>
          <w:bCs/>
          <w:sz w:val="24"/>
        </w:rPr>
        <w:t>医疗费用涉及第三方支付的按以下约定进行赔付：</w:t>
      </w:r>
    </w:p>
    <w:p w14:paraId="6DA88536">
      <w:pPr>
        <w:spacing w:line="360" w:lineRule="auto"/>
        <w:ind w:firstLine="482" w:firstLineChars="200"/>
        <w:rPr>
          <w:rFonts w:ascii="楷体" w:hAnsi="楷体" w:eastAsia="楷体"/>
          <w:b/>
          <w:bCs/>
          <w:sz w:val="24"/>
        </w:rPr>
      </w:pPr>
      <w:r>
        <w:rPr>
          <w:rFonts w:hint="eastAsia" w:ascii="楷体" w:hAnsi="楷体" w:eastAsia="楷体"/>
          <w:b/>
          <w:bCs/>
          <w:sz w:val="24"/>
        </w:rPr>
        <w:t>被保险人的健康保险责任中，但若被保险人已从其它途径（包括但不限于社会医疗保险、公费医疗、总工会、工作单位、侵权人或侵权责任承担方、保险人在内的任何保险机构）获得的补偿，保险人在扣除其他途径已获得的补偿后，对于剩余部分费用根据本合同约定在保险责任金额限额内按照约定的赔付范围、免赔额、级距和给付比例给付保险金。</w:t>
      </w:r>
    </w:p>
    <w:p w14:paraId="50E69BDD">
      <w:pPr>
        <w:spacing w:line="360" w:lineRule="auto"/>
        <w:ind w:firstLine="200"/>
        <w:rPr>
          <w:rFonts w:ascii="楷体" w:hAnsi="楷体" w:eastAsia="楷体"/>
          <w:b/>
          <w:bCs/>
          <w:sz w:val="24"/>
          <w:szCs w:val="32"/>
        </w:rPr>
      </w:pPr>
      <w:r>
        <w:rPr>
          <w:rFonts w:hint="eastAsia" w:ascii="楷体" w:hAnsi="楷体" w:eastAsia="楷体" w:cs="Arial"/>
          <w:b/>
          <w:sz w:val="24"/>
        </w:rPr>
        <w:t>其中住院理赔须先经社保统筹结算，并扣除总工会已承担部分费用（总工会承担的费用为统筹基金支付范围以内（起付线以上至最高支付额以下）属于个人自负部分的医疗费用的60%，以及统筹基金最高支付限额以上附加基金支付范围之内属于个人自负部分的医疗费用的70%</w:t>
      </w:r>
      <w:r>
        <w:rPr>
          <w:rFonts w:ascii="楷体" w:hAnsi="楷体" w:eastAsia="楷体" w:cs="Arial"/>
          <w:b/>
          <w:sz w:val="24"/>
        </w:rPr>
        <w:t>)</w:t>
      </w:r>
      <w:r>
        <w:rPr>
          <w:rFonts w:hint="eastAsia" w:ascii="楷体" w:hAnsi="楷体" w:eastAsia="楷体" w:cs="Arial"/>
          <w:b/>
          <w:sz w:val="24"/>
        </w:rPr>
        <w:t>。我司赔付剩余部分的社保范围内费用。</w:t>
      </w:r>
    </w:p>
    <w:p w14:paraId="39F65403">
      <w:pPr>
        <w:spacing w:line="360" w:lineRule="auto"/>
        <w:ind w:firstLine="482" w:firstLineChars="200"/>
        <w:rPr>
          <w:rFonts w:ascii="楷体" w:hAnsi="楷体" w:eastAsia="楷体" w:cs="Arial"/>
          <w:b/>
          <w:sz w:val="24"/>
        </w:rPr>
      </w:pPr>
      <w:r>
        <w:rPr>
          <w:rFonts w:hint="eastAsia" w:ascii="楷体" w:hAnsi="楷体" w:eastAsia="楷体" w:cs="Arial"/>
          <w:b/>
          <w:sz w:val="24"/>
        </w:rPr>
        <w:t>被保险人有弄虚作假行为的，经查实，保险人有权拒付该被保险人当次申请的全部医疗费用，且对该被保险人的医疗保险责任在通知投保人后终止，并不退还相应保险费。</w:t>
      </w:r>
    </w:p>
    <w:p w14:paraId="35604106">
      <w:pPr>
        <w:widowControl/>
        <w:spacing w:line="360" w:lineRule="auto"/>
        <w:ind w:firstLine="482" w:firstLineChars="200"/>
        <w:jc w:val="left"/>
        <w:rPr>
          <w:rFonts w:ascii="楷体" w:hAnsi="楷体" w:eastAsia="楷体" w:cs="宋体"/>
          <w:b/>
          <w:kern w:val="0"/>
          <w:sz w:val="24"/>
        </w:rPr>
      </w:pPr>
      <w:r>
        <w:rPr>
          <w:rFonts w:hint="eastAsia" w:ascii="楷体" w:hAnsi="楷体" w:eastAsia="楷体" w:cs="Arial"/>
          <w:b/>
          <w:sz w:val="24"/>
        </w:rPr>
        <w:t>保险人发现被保险人既往理赔申请存在弄虚作假行为的，经通知投保人后，自发现之日起对该被保险人的医疗保险责任终止，并不退还相应保险费。对于已给付的保险金，保险人书面通知投保人，投保人有义务配合保险人向该被保险人进行保险金的追偿。保险人对该被保险人的行为，保留追究其刑事及民事责任的权利。保险公司针对可疑虚假理赔案件进行调查审计的案件时效可以超过三十日作出核定结论。</w:t>
      </w:r>
    </w:p>
    <w:p w14:paraId="157D754C">
      <w:pPr>
        <w:pStyle w:val="2"/>
        <w:keepNext w:val="0"/>
        <w:keepLines w:val="0"/>
        <w:spacing w:before="0" w:after="0" w:line="360" w:lineRule="auto"/>
        <w:rPr>
          <w:rFonts w:ascii="楷体" w:hAnsi="楷体" w:eastAsia="楷体" w:cs="Arial"/>
          <w:b w:val="0"/>
          <w:color w:val="000000"/>
          <w:kern w:val="0"/>
          <w:sz w:val="24"/>
        </w:rPr>
      </w:pPr>
      <w:r>
        <w:rPr>
          <w:rFonts w:hint="eastAsia" w:ascii="楷体" w:hAnsi="楷体" w:eastAsia="楷体" w:cs="Arial"/>
          <w:b w:val="0"/>
          <w:color w:val="000000"/>
          <w:kern w:val="0"/>
          <w:sz w:val="24"/>
        </w:rPr>
        <w:t>【等待期】</w:t>
      </w:r>
    </w:p>
    <w:p w14:paraId="16F180D4">
      <w:pPr>
        <w:pStyle w:val="7"/>
        <w:numPr>
          <w:ilvl w:val="0"/>
          <w:numId w:val="6"/>
        </w:numPr>
        <w:adjustRightInd w:val="0"/>
        <w:snapToGrid w:val="0"/>
        <w:spacing w:line="360" w:lineRule="auto"/>
        <w:ind w:firstLineChars="0"/>
        <w:rPr>
          <w:rFonts w:ascii="楷体" w:hAnsi="楷体" w:eastAsia="楷体" w:cs="Arial"/>
          <w:sz w:val="24"/>
        </w:rPr>
      </w:pPr>
      <w:r>
        <w:rPr>
          <w:rFonts w:hint="eastAsia" w:ascii="楷体" w:hAnsi="楷体" w:eastAsia="楷体" w:cs="Arial"/>
          <w:sz w:val="24"/>
        </w:rPr>
        <w:t>意外伤害：无等待期。</w:t>
      </w:r>
    </w:p>
    <w:p w14:paraId="49E7F472">
      <w:pPr>
        <w:pStyle w:val="7"/>
        <w:numPr>
          <w:ilvl w:val="0"/>
          <w:numId w:val="6"/>
        </w:numPr>
        <w:adjustRightInd w:val="0"/>
        <w:snapToGrid w:val="0"/>
        <w:spacing w:line="360" w:lineRule="auto"/>
        <w:ind w:firstLineChars="0"/>
        <w:rPr>
          <w:rFonts w:ascii="楷体" w:hAnsi="楷体" w:eastAsia="楷体" w:cs="Arial"/>
          <w:sz w:val="24"/>
        </w:rPr>
      </w:pPr>
      <w:r>
        <w:rPr>
          <w:rFonts w:hint="eastAsia" w:ascii="楷体" w:hAnsi="楷体" w:eastAsia="楷体" w:cs="Arial"/>
          <w:sz w:val="24"/>
        </w:rPr>
        <w:t>重大疾病：转保人员无等待期，新加保人员等待期3</w:t>
      </w:r>
      <w:r>
        <w:rPr>
          <w:rFonts w:ascii="楷体" w:hAnsi="楷体" w:eastAsia="楷体" w:cs="Arial"/>
          <w:sz w:val="24"/>
        </w:rPr>
        <w:t>0</w:t>
      </w:r>
      <w:r>
        <w:rPr>
          <w:rFonts w:hint="eastAsia" w:ascii="楷体" w:hAnsi="楷体" w:eastAsia="楷体" w:cs="Arial"/>
          <w:sz w:val="24"/>
        </w:rPr>
        <w:t>天。</w:t>
      </w:r>
    </w:p>
    <w:p w14:paraId="389357B5">
      <w:pPr>
        <w:pStyle w:val="7"/>
        <w:numPr>
          <w:ilvl w:val="0"/>
          <w:numId w:val="6"/>
        </w:numPr>
        <w:adjustRightInd w:val="0"/>
        <w:snapToGrid w:val="0"/>
        <w:spacing w:line="360" w:lineRule="auto"/>
        <w:ind w:firstLineChars="0"/>
        <w:rPr>
          <w:rFonts w:ascii="楷体" w:hAnsi="楷体" w:eastAsia="楷体" w:cs="Arial"/>
          <w:sz w:val="24"/>
        </w:rPr>
      </w:pPr>
      <w:r>
        <w:rPr>
          <w:rFonts w:hint="eastAsia" w:ascii="楷体" w:hAnsi="楷体" w:eastAsia="楷体" w:cs="Arial"/>
          <w:sz w:val="24"/>
        </w:rPr>
        <w:t>意外、疾病医疗：无等待期。</w:t>
      </w:r>
    </w:p>
    <w:p w14:paraId="664BA1D7">
      <w:pPr>
        <w:pStyle w:val="2"/>
        <w:keepNext w:val="0"/>
        <w:keepLines w:val="0"/>
        <w:spacing w:before="0" w:after="0" w:line="360" w:lineRule="auto"/>
        <w:rPr>
          <w:rFonts w:ascii="楷体" w:hAnsi="楷体" w:eastAsia="楷体" w:cs="Arial"/>
          <w:b w:val="0"/>
          <w:color w:val="000000"/>
          <w:kern w:val="0"/>
          <w:sz w:val="24"/>
        </w:rPr>
      </w:pPr>
      <w:r>
        <w:rPr>
          <w:rFonts w:hint="eastAsia" w:ascii="楷体" w:hAnsi="楷体" w:eastAsia="楷体" w:cs="Arial"/>
          <w:b w:val="0"/>
          <w:color w:val="000000"/>
          <w:kern w:val="0"/>
          <w:sz w:val="24"/>
        </w:rPr>
        <w:t>【既往症】</w:t>
      </w:r>
    </w:p>
    <w:p w14:paraId="1D7FB20E">
      <w:pPr>
        <w:pStyle w:val="7"/>
        <w:numPr>
          <w:ilvl w:val="0"/>
          <w:numId w:val="7"/>
        </w:numPr>
        <w:adjustRightInd w:val="0"/>
        <w:snapToGrid w:val="0"/>
        <w:spacing w:line="360" w:lineRule="auto"/>
        <w:ind w:firstLineChars="0"/>
        <w:rPr>
          <w:rFonts w:ascii="楷体" w:hAnsi="楷体" w:eastAsia="楷体" w:cs="Arial"/>
          <w:sz w:val="24"/>
        </w:rPr>
      </w:pPr>
      <w:r>
        <w:rPr>
          <w:rFonts w:hint="eastAsia" w:ascii="楷体" w:hAnsi="楷体" w:eastAsia="楷体" w:cs="Arial"/>
          <w:sz w:val="24"/>
        </w:rPr>
        <w:t>疾病门急诊、住院责任：承担一般既往症。转保人员承担所有既往症责任</w:t>
      </w:r>
      <w:r>
        <w:rPr>
          <w:rFonts w:hint="eastAsia" w:ascii="楷体" w:hAnsi="楷体" w:eastAsia="楷体" w:cs="Arial"/>
          <w:b/>
          <w:bCs/>
          <w:sz w:val="24"/>
        </w:rPr>
        <w:t>（除外因先天性疾病、精神病、癫痫、特定传染病、艾滋病、性病导致的门急诊，住院责任）</w:t>
      </w:r>
      <w:r>
        <w:rPr>
          <w:rFonts w:hint="eastAsia" w:ascii="楷体" w:hAnsi="楷体" w:eastAsia="楷体" w:cs="Arial"/>
          <w:sz w:val="24"/>
        </w:rPr>
        <w:t>。</w:t>
      </w:r>
    </w:p>
    <w:p w14:paraId="46DE7F2E">
      <w:pPr>
        <w:pStyle w:val="7"/>
        <w:numPr>
          <w:ilvl w:val="0"/>
          <w:numId w:val="7"/>
        </w:numPr>
        <w:adjustRightInd w:val="0"/>
        <w:snapToGrid w:val="0"/>
        <w:spacing w:line="360" w:lineRule="auto"/>
        <w:ind w:firstLineChars="0"/>
        <w:rPr>
          <w:rFonts w:ascii="楷体" w:hAnsi="楷体" w:eastAsia="楷体" w:cs="Arial"/>
          <w:b/>
          <w:sz w:val="24"/>
        </w:rPr>
      </w:pPr>
      <w:r>
        <w:rPr>
          <w:rFonts w:hint="eastAsia" w:ascii="楷体" w:hAnsi="楷体" w:eastAsia="楷体" w:cs="Arial"/>
          <w:sz w:val="24"/>
        </w:rPr>
        <w:t>重大疾病：承担一般既往症责任，</w:t>
      </w:r>
      <w:r>
        <w:rPr>
          <w:rFonts w:hint="eastAsia" w:ascii="楷体" w:hAnsi="楷体" w:eastAsia="楷体" w:cs="Arial"/>
          <w:b/>
          <w:sz w:val="24"/>
        </w:rPr>
        <w:t>但严重疾病既往症责任除外。</w:t>
      </w:r>
    </w:p>
    <w:p w14:paraId="6B0D20EF">
      <w:pPr>
        <w:pStyle w:val="7"/>
        <w:adjustRightInd w:val="0"/>
        <w:snapToGrid w:val="0"/>
        <w:spacing w:line="360" w:lineRule="auto"/>
        <w:ind w:left="420" w:firstLine="0" w:firstLineChars="0"/>
        <w:rPr>
          <w:rFonts w:ascii="楷体" w:hAnsi="楷体" w:eastAsia="楷体" w:cs="Arial"/>
          <w:b/>
          <w:bCs/>
          <w:sz w:val="24"/>
        </w:rPr>
      </w:pPr>
      <w:r>
        <w:rPr>
          <w:rFonts w:hint="eastAsia" w:ascii="楷体" w:hAnsi="楷体" w:eastAsia="楷体" w:cs="Arial"/>
          <w:b/>
          <w:bCs/>
          <w:sz w:val="24"/>
        </w:rPr>
        <w:t>严重疾病既往症包括：恶性肿瘤、心脏病（心功能不全Ⅱ级以上）、心肌梗塞、高血压病（Ⅱ</w:t>
      </w:r>
      <w:r>
        <w:rPr>
          <w:rFonts w:hint="eastAsia" w:ascii="楷体" w:hAnsi="楷体" w:eastAsia="楷体" w:cs="Arial"/>
          <w:b/>
          <w:bCs/>
          <w:color w:val="000000" w:themeColor="text1"/>
          <w:sz w:val="24"/>
          <w14:textFill>
            <w14:solidFill>
              <w14:schemeClr w14:val="tx1"/>
            </w14:solidFill>
          </w14:textFill>
        </w:rPr>
        <w:t>级</w:t>
      </w:r>
      <w:r>
        <w:rPr>
          <w:rFonts w:hint="eastAsia" w:ascii="楷体" w:hAnsi="楷体" w:eastAsia="楷体" w:cs="Arial"/>
          <w:b/>
          <w:bCs/>
          <w:sz w:val="24"/>
        </w:rPr>
        <w:t>以上）、肝硬化、慢性阻塞性支气管疾病、支气管哮喘、肺心病、脑血管疾病、慢性肝炎、糖尿病、类风湿疾病、白血病、再生障碍性贫血、系统性红斑狼疮、帕金森氏病、慢性肾脏疾病、先天性疾病、精神病、癫痫、特定传染病、艾滋病、性病。</w:t>
      </w:r>
    </w:p>
    <w:p w14:paraId="5BDCFD06">
      <w:pPr>
        <w:pStyle w:val="7"/>
        <w:adjustRightInd w:val="0"/>
        <w:snapToGrid w:val="0"/>
        <w:spacing w:line="360" w:lineRule="auto"/>
        <w:ind w:left="420" w:firstLine="0" w:firstLineChars="0"/>
        <w:rPr>
          <w:rFonts w:ascii="楷体" w:hAnsi="楷体" w:eastAsia="楷体" w:cs="Arial"/>
          <w:b/>
          <w:bCs/>
          <w:sz w:val="24"/>
        </w:rPr>
      </w:pPr>
      <w:r>
        <w:rPr>
          <w:rFonts w:ascii="楷体" w:hAnsi="楷体" w:eastAsia="楷体" w:cs="Arial"/>
          <w:b/>
          <w:bCs/>
          <w:sz w:val="24"/>
        </w:rPr>
        <w:tab/>
      </w:r>
      <w:r>
        <w:rPr>
          <w:rFonts w:hint="eastAsia" w:ascii="楷体" w:hAnsi="楷体" w:eastAsia="楷体" w:cs="Arial"/>
          <w:b/>
          <w:bCs/>
          <w:sz w:val="24"/>
        </w:rPr>
        <w:t>承担转保人员严重疾病既往症（除外已患重大疾病及其并发症，除外先天性疾病、精神病、艾滋病、性病）导致的重大疾病责任责任，新加保人员既往症按照标准设置。</w:t>
      </w:r>
    </w:p>
    <w:p w14:paraId="2CC5BB6B">
      <w:pPr>
        <w:pStyle w:val="2"/>
        <w:keepNext w:val="0"/>
        <w:keepLines w:val="0"/>
        <w:spacing w:before="0" w:after="0" w:line="360" w:lineRule="auto"/>
        <w:rPr>
          <w:rFonts w:ascii="楷体" w:hAnsi="楷体" w:eastAsia="楷体" w:cs="Arial"/>
          <w:b w:val="0"/>
          <w:color w:val="000000"/>
          <w:kern w:val="0"/>
          <w:sz w:val="24"/>
        </w:rPr>
      </w:pPr>
      <w:r>
        <w:rPr>
          <w:rFonts w:hint="eastAsia" w:ascii="楷体" w:hAnsi="楷体" w:eastAsia="楷体" w:cs="Arial"/>
          <w:b w:val="0"/>
          <w:color w:val="000000"/>
          <w:kern w:val="0"/>
          <w:sz w:val="24"/>
        </w:rPr>
        <w:t>【责任免除】</w:t>
      </w:r>
    </w:p>
    <w:p w14:paraId="75F17DD4">
      <w:pPr>
        <w:pStyle w:val="7"/>
        <w:numPr>
          <w:ilvl w:val="0"/>
          <w:numId w:val="8"/>
        </w:numPr>
        <w:adjustRightInd w:val="0"/>
        <w:snapToGrid w:val="0"/>
        <w:spacing w:line="360" w:lineRule="auto"/>
        <w:ind w:firstLineChars="0"/>
        <w:rPr>
          <w:rFonts w:ascii="楷体" w:hAnsi="楷体" w:eastAsia="楷体" w:cs="Arial"/>
          <w:sz w:val="24"/>
        </w:rPr>
      </w:pPr>
      <w:r>
        <w:rPr>
          <w:rFonts w:hint="eastAsia" w:ascii="楷体" w:hAnsi="楷体" w:eastAsia="楷体" w:cs="Arial"/>
          <w:sz w:val="24"/>
        </w:rPr>
        <w:t>本协议中对于责任免除的规则均以本协议内“责任免除”部分描述为准。</w:t>
      </w:r>
    </w:p>
    <w:p w14:paraId="3C2AA234"/>
    <w:p w14:paraId="7C85CA41">
      <w:pPr>
        <w:numPr>
          <w:numId w:val="0"/>
        </w:numPr>
        <w:spacing w:line="360" w:lineRule="auto"/>
        <w:ind w:leftChars="0"/>
        <w:jc w:val="both"/>
        <w:outlineLvl w:val="0"/>
        <w:rPr>
          <w:rFonts w:hint="eastAsia" w:ascii="楷体" w:hAnsi="楷体" w:eastAsia="楷体" w:cs="Arial"/>
          <w:b/>
          <w:color w:val="000000"/>
          <w:kern w:val="0"/>
          <w:sz w:val="28"/>
        </w:rPr>
      </w:pPr>
    </w:p>
    <w:p w14:paraId="02B0897C">
      <w:pPr>
        <w:numPr>
          <w:numId w:val="0"/>
        </w:numPr>
        <w:spacing w:line="360" w:lineRule="auto"/>
        <w:ind w:leftChars="0"/>
        <w:jc w:val="center"/>
        <w:outlineLvl w:val="0"/>
        <w:rPr>
          <w:rFonts w:ascii="楷体" w:hAnsi="楷体" w:eastAsia="楷体" w:cs="Arial"/>
          <w:b/>
          <w:sz w:val="28"/>
        </w:rPr>
      </w:pPr>
      <w:r>
        <w:rPr>
          <w:rFonts w:hint="eastAsia" w:ascii="楷体" w:hAnsi="楷体" w:eastAsia="楷体" w:cs="Arial"/>
          <w:b/>
          <w:color w:val="000000"/>
          <w:kern w:val="0"/>
          <w:sz w:val="28"/>
        </w:rPr>
        <w:t>医院范围</w:t>
      </w:r>
    </w:p>
    <w:p w14:paraId="49970462">
      <w:pPr>
        <w:pStyle w:val="7"/>
        <w:numPr>
          <w:ilvl w:val="0"/>
          <w:numId w:val="9"/>
        </w:numPr>
        <w:tabs>
          <w:tab w:val="left" w:pos="0"/>
        </w:tabs>
        <w:spacing w:line="360" w:lineRule="auto"/>
        <w:ind w:firstLineChars="0"/>
        <w:outlineLvl w:val="1"/>
        <w:rPr>
          <w:rFonts w:ascii="楷体" w:hAnsi="楷体" w:eastAsia="楷体" w:cs="Arial"/>
          <w:b/>
          <w:sz w:val="24"/>
        </w:rPr>
      </w:pPr>
      <w:r>
        <w:rPr>
          <w:rFonts w:hint="eastAsia" w:ascii="楷体" w:hAnsi="楷体" w:eastAsia="楷体"/>
          <w:sz w:val="24"/>
        </w:rPr>
        <w:t>本协议内约定的医院范围为中华人民共和国境内</w:t>
      </w:r>
      <w:r>
        <w:rPr>
          <w:rFonts w:hint="eastAsia" w:ascii="楷体" w:hAnsi="楷体" w:eastAsia="楷体"/>
          <w:b/>
          <w:sz w:val="24"/>
        </w:rPr>
        <w:t>（港、澳、台地区除外）</w:t>
      </w:r>
      <w:r>
        <w:rPr>
          <w:rFonts w:hint="eastAsia" w:ascii="楷体" w:hAnsi="楷体" w:eastAsia="楷体"/>
          <w:sz w:val="24"/>
        </w:rPr>
        <w:t>合法经营的二级及以上公立医保定点医院的普通部和校医院，</w:t>
      </w:r>
      <w:bookmarkStart w:id="2" w:name="_Hlk165370556"/>
      <w:r>
        <w:rPr>
          <w:rFonts w:hint="eastAsia" w:ascii="楷体" w:hAnsi="楷体" w:eastAsia="楷体"/>
          <w:b/>
          <w:sz w:val="24"/>
        </w:rPr>
        <w:t>校医院费用报销凭证以收据为准（无需发票）</w:t>
      </w:r>
      <w:r>
        <w:rPr>
          <w:rFonts w:ascii="楷体" w:hAnsi="楷体" w:eastAsia="楷体"/>
          <w:b/>
          <w:sz w:val="24"/>
        </w:rPr>
        <w:t>,</w:t>
      </w:r>
      <w:r>
        <w:rPr>
          <w:rFonts w:hint="eastAsia" w:ascii="楷体" w:hAnsi="楷体" w:eastAsia="楷体"/>
          <w:b/>
          <w:sz w:val="24"/>
        </w:rPr>
        <w:t>收据样张以附件二版本为准</w:t>
      </w:r>
      <w:bookmarkEnd w:id="2"/>
      <w:r>
        <w:rPr>
          <w:rFonts w:hint="eastAsia" w:ascii="楷体" w:hAnsi="楷体" w:eastAsia="楷体"/>
          <w:b/>
          <w:sz w:val="24"/>
        </w:rPr>
        <w:t>；但不包括外设门诊部、联合诊所、便民（简易）门诊、家庭病房、挂床住院、特诊（需）病区、特诊（需）病房、康复门诊科室、康复病区等。急诊可就近选择医保定点医院就诊，但复诊时须到指定医院就诊</w:t>
      </w:r>
      <w:r>
        <w:rPr>
          <w:rFonts w:hint="eastAsia" w:ascii="楷体" w:hAnsi="楷体" w:eastAsia="楷体"/>
          <w:b/>
          <w:color w:val="000000" w:themeColor="text1"/>
          <w:sz w:val="24"/>
          <w14:textFill>
            <w14:solidFill>
              <w14:schemeClr w14:val="tx1"/>
            </w14:solidFill>
          </w14:textFill>
        </w:rPr>
        <w:t>。</w:t>
      </w:r>
    </w:p>
    <w:p w14:paraId="418FEF22">
      <w:pPr>
        <w:pStyle w:val="7"/>
        <w:numPr>
          <w:ilvl w:val="0"/>
          <w:numId w:val="9"/>
        </w:numPr>
        <w:tabs>
          <w:tab w:val="left" w:pos="0"/>
        </w:tabs>
        <w:spacing w:line="360" w:lineRule="auto"/>
        <w:ind w:firstLineChars="0"/>
        <w:outlineLvl w:val="1"/>
        <w:rPr>
          <w:rFonts w:ascii="楷体" w:hAnsi="楷体" w:eastAsia="楷体"/>
          <w:sz w:val="24"/>
        </w:rPr>
      </w:pPr>
      <w:r>
        <w:rPr>
          <w:rFonts w:hint="eastAsia" w:ascii="楷体" w:hAnsi="楷体" w:eastAsia="楷体"/>
          <w:sz w:val="24"/>
        </w:rPr>
        <w:t>急诊可以到非约定医院就诊治疗，</w:t>
      </w:r>
      <w:r>
        <w:rPr>
          <w:rFonts w:hint="eastAsia" w:ascii="楷体" w:hAnsi="楷体" w:eastAsia="楷体"/>
          <w:b/>
          <w:sz w:val="24"/>
        </w:rPr>
        <w:t>但复诊时须到指定医院就诊治疗。</w:t>
      </w:r>
      <w:r>
        <w:rPr>
          <w:rFonts w:hint="eastAsia" w:ascii="楷体" w:hAnsi="楷体" w:eastAsia="楷体"/>
          <w:sz w:val="24"/>
        </w:rPr>
        <w:t xml:space="preserve">若因指定医院条件限制而需转至非约定医院治疗时，必须经原治病医院会诊，出具转院证明并经保险人同意。 </w:t>
      </w:r>
    </w:p>
    <w:p w14:paraId="49D5B96D">
      <w:pPr>
        <w:pStyle w:val="7"/>
        <w:numPr>
          <w:ilvl w:val="0"/>
          <w:numId w:val="9"/>
        </w:numPr>
        <w:spacing w:line="360" w:lineRule="auto"/>
        <w:ind w:firstLineChars="0"/>
        <w:outlineLvl w:val="1"/>
        <w:rPr>
          <w:rFonts w:ascii="楷体" w:hAnsi="楷体" w:eastAsia="楷体" w:cs="Arial"/>
          <w:b/>
          <w:sz w:val="28"/>
        </w:rPr>
      </w:pPr>
      <w:r>
        <w:rPr>
          <w:rFonts w:hint="eastAsia" w:ascii="楷体" w:hAnsi="楷体" w:eastAsia="楷体"/>
          <w:b/>
          <w:kern w:val="0"/>
          <w:sz w:val="24"/>
        </w:rPr>
        <w:t>所有约定医院的外宾病区、特诊病区、特诊病房和高干病房等同类病区或病房不在规定的范围内。</w:t>
      </w:r>
    </w:p>
    <w:p w14:paraId="2ED295D9">
      <w:pPr>
        <w:pStyle w:val="7"/>
        <w:numPr>
          <w:ilvl w:val="0"/>
          <w:numId w:val="9"/>
        </w:numPr>
        <w:tabs>
          <w:tab w:val="left" w:pos="0"/>
        </w:tabs>
        <w:spacing w:line="360" w:lineRule="auto"/>
        <w:ind w:firstLineChars="0"/>
        <w:outlineLvl w:val="1"/>
        <w:rPr>
          <w:rFonts w:ascii="楷体" w:hAnsi="楷体" w:eastAsia="楷体"/>
          <w:b/>
          <w:kern w:val="0"/>
          <w:sz w:val="24"/>
        </w:rPr>
      </w:pPr>
      <w:r>
        <w:rPr>
          <w:rFonts w:hint="eastAsia" w:ascii="楷体" w:hAnsi="楷体" w:eastAsia="楷体"/>
          <w:b/>
          <w:kern w:val="0"/>
          <w:sz w:val="24"/>
        </w:rPr>
        <w:t>所有非约定医院、病区或病房内发生的任何费用，保险人不承担保险责任（急诊除外）。</w:t>
      </w:r>
    </w:p>
    <w:p w14:paraId="3E393012">
      <w:bookmarkStart w:id="3" w:name="_GoBack"/>
      <w:bookmarkEnd w:id="3"/>
    </w:p>
    <w:p w14:paraId="07B6C389">
      <w:pPr>
        <w:numPr>
          <w:numId w:val="0"/>
        </w:numPr>
        <w:spacing w:line="360" w:lineRule="auto"/>
        <w:ind w:leftChars="0"/>
        <w:jc w:val="center"/>
        <w:outlineLvl w:val="0"/>
        <w:rPr>
          <w:rFonts w:ascii="楷体" w:hAnsi="楷体" w:eastAsia="楷体" w:cs="Arial"/>
          <w:b/>
          <w:sz w:val="28"/>
          <w:shd w:val="pct10" w:color="auto" w:fill="FFFFFF"/>
        </w:rPr>
      </w:pPr>
      <w:r>
        <w:rPr>
          <w:rFonts w:hint="eastAsia" w:ascii="楷体" w:hAnsi="楷体" w:eastAsia="楷体" w:cs="Arial"/>
          <w:b/>
          <w:sz w:val="28"/>
          <w:shd w:val="pct10" w:color="auto" w:fill="FFFFFF"/>
        </w:rPr>
        <w:t>责任免除</w:t>
      </w:r>
    </w:p>
    <w:p w14:paraId="70B71809">
      <w:pPr>
        <w:spacing w:line="360" w:lineRule="auto"/>
        <w:rPr>
          <w:rFonts w:ascii="楷体" w:hAnsi="楷体" w:eastAsia="楷体" w:cs="Arial"/>
          <w:b/>
          <w:sz w:val="28"/>
          <w:shd w:val="pct10" w:color="auto" w:fill="FFFFFF"/>
        </w:rPr>
      </w:pPr>
      <w:r>
        <w:rPr>
          <w:rFonts w:hint="eastAsia" w:ascii="楷体" w:hAnsi="楷体" w:eastAsia="楷体" w:cs="Arial"/>
          <w:b/>
          <w:sz w:val="24"/>
          <w:shd w:val="pct10" w:color="auto" w:fill="FFFFFF"/>
        </w:rPr>
        <w:t>除非另有约定，本协议对应责任的免责内容如下：</w:t>
      </w:r>
    </w:p>
    <w:p w14:paraId="6E0A146E">
      <w:pPr>
        <w:pStyle w:val="7"/>
        <w:numPr>
          <w:ilvl w:val="0"/>
          <w:numId w:val="10"/>
        </w:numPr>
        <w:adjustRightInd w:val="0"/>
        <w:snapToGrid w:val="0"/>
        <w:spacing w:line="360" w:lineRule="auto"/>
        <w:ind w:firstLineChars="0"/>
        <w:outlineLvl w:val="1"/>
        <w:rPr>
          <w:rFonts w:ascii="楷体" w:hAnsi="楷体" w:eastAsia="楷体" w:cs="Arial"/>
          <w:b/>
          <w:sz w:val="24"/>
          <w:shd w:val="pct10" w:color="auto" w:fill="FFFFFF"/>
        </w:rPr>
      </w:pPr>
      <w:r>
        <w:rPr>
          <w:rFonts w:hint="eastAsia" w:ascii="楷体" w:hAnsi="楷体" w:eastAsia="楷体" w:cs="Arial"/>
          <w:b/>
          <w:kern w:val="0"/>
          <w:sz w:val="24"/>
          <w:shd w:val="pct10" w:color="auto" w:fill="FFFFFF"/>
        </w:rPr>
        <w:t>《平安团体交通意外伤害保险（2022版）》</w:t>
      </w:r>
      <w:r>
        <w:rPr>
          <w:rFonts w:hint="eastAsia" w:ascii="楷体" w:hAnsi="楷体" w:eastAsia="楷体" w:cs="Arial"/>
          <w:b/>
          <w:color w:val="000000"/>
          <w:kern w:val="0"/>
          <w:sz w:val="24"/>
          <w:shd w:val="pct10" w:color="auto" w:fill="FFFFFF"/>
        </w:rPr>
        <w:t>责任免除：</w:t>
      </w:r>
    </w:p>
    <w:p w14:paraId="13BE9F59">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因下列情形之一，造成被保险人发生保险事故的，本保险人不承担给付保险金的责任：</w:t>
      </w:r>
    </w:p>
    <w:p w14:paraId="12F3D5A7">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1.投保人对被保险人的故意杀害、故意伤害；</w:t>
      </w:r>
    </w:p>
    <w:p w14:paraId="2F58239D">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2.被保险人故意自杀或自伤、故意犯罪或者抗拒依法采取的刑事强制措施；</w:t>
      </w:r>
    </w:p>
    <w:p w14:paraId="635AFD7F">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3.被保险人殴斗、醉酒，主动吸食或注射毒品；</w:t>
      </w:r>
    </w:p>
    <w:p w14:paraId="34BBEB92">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4.被保险人酒后驾驶 、无合法有效驾驶证驾驶 或驾驶无有效行驶证的交通工具；</w:t>
      </w:r>
    </w:p>
    <w:p w14:paraId="2849123D">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5.核爆炸、核辐射与核污染、战争、军事冲突、恐怖袭击、暴乱或武装叛乱；</w:t>
      </w:r>
    </w:p>
    <w:p w14:paraId="164D6B9B">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6.被保险人违反承运人关于安全乘坐客运公共交通工具的规定；</w:t>
      </w:r>
    </w:p>
    <w:p w14:paraId="3325CAB0">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7.被保险人因药物过敏、医疗事故或精神和行为障碍（依照世界卫生组织《疾病和有关健康问题的国际统计分类》（ICD-10）第十次修订版确定）导致的伤害。</w:t>
      </w:r>
    </w:p>
    <w:p w14:paraId="4BDD9050">
      <w:pPr>
        <w:autoSpaceDE w:val="0"/>
        <w:autoSpaceDN w:val="0"/>
        <w:adjustRightInd w:val="0"/>
        <w:spacing w:line="360" w:lineRule="auto"/>
        <w:ind w:firstLine="482" w:firstLineChars="200"/>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发生上述第1项情形导致被保险人发生保险事故的，本保险人对该被保险人保险责任终止，并向除投保人之外的受益人退还该被保险人的未满期净保险费。</w:t>
      </w:r>
    </w:p>
    <w:p w14:paraId="12DF8E73">
      <w:pPr>
        <w:pStyle w:val="7"/>
        <w:numPr>
          <w:ilvl w:val="0"/>
          <w:numId w:val="10"/>
        </w:numPr>
        <w:adjustRightInd w:val="0"/>
        <w:snapToGrid w:val="0"/>
        <w:spacing w:line="360" w:lineRule="auto"/>
        <w:ind w:firstLineChars="0"/>
        <w:outlineLvl w:val="1"/>
        <w:rPr>
          <w:rFonts w:ascii="楷体" w:hAnsi="楷体" w:eastAsia="楷体" w:cs="Arial"/>
          <w:b/>
          <w:sz w:val="24"/>
          <w:shd w:val="pct10" w:color="auto" w:fill="FFFFFF"/>
        </w:rPr>
      </w:pPr>
      <w:r>
        <w:rPr>
          <w:rFonts w:hint="eastAsia" w:ascii="楷体" w:hAnsi="楷体" w:eastAsia="楷体" w:cs="Arial"/>
          <w:b/>
          <w:kern w:val="0"/>
          <w:sz w:val="24"/>
          <w:shd w:val="pct10" w:color="auto" w:fill="FFFFFF"/>
        </w:rPr>
        <w:t>《平安附加团体疾病保险》</w:t>
      </w:r>
      <w:r>
        <w:rPr>
          <w:rFonts w:hint="eastAsia" w:ascii="楷体" w:hAnsi="楷体" w:eastAsia="楷体" w:cs="Arial"/>
          <w:b/>
          <w:color w:val="000000"/>
          <w:kern w:val="0"/>
          <w:sz w:val="24"/>
          <w:shd w:val="pct10" w:color="auto" w:fill="FFFFFF"/>
        </w:rPr>
        <w:t>责任免除：</w:t>
      </w:r>
    </w:p>
    <w:p w14:paraId="256894B1">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因下列情形之一，导致被保险人初次发生重大疾病的，保险人不承担给付保险金的责任：</w:t>
      </w:r>
    </w:p>
    <w:p w14:paraId="135C577E">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1.投保人对被保险人的故意杀害、故意伤害；</w:t>
      </w:r>
    </w:p>
    <w:p w14:paraId="58952C80">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2.被保险人故意自伤、故意犯罪或抗拒依法采取的刑事强制措施；</w:t>
      </w:r>
    </w:p>
    <w:p w14:paraId="6DD91F63">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3.被保险人主动吸食或注射毒品；</w:t>
      </w:r>
    </w:p>
    <w:p w14:paraId="3D960097">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4.被保险人酒后驾驶、无合法有效驾驶证驾驶或驾驶无合法有效行驶证的机动车；</w:t>
      </w:r>
    </w:p>
    <w:p w14:paraId="3EA182CA">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5.被保险人感染艾滋病病毒或患艾滋病；</w:t>
      </w:r>
    </w:p>
    <w:p w14:paraId="5523425E">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6.被保险人在参保本合同前已患的符合本合同约定的重大疾病（详见重大疾病释义）或其并发症导致的；</w:t>
      </w:r>
    </w:p>
    <w:p w14:paraId="44B5F8D3">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7.战争、军事冲突、暴乱或武装叛乱；</w:t>
      </w:r>
    </w:p>
    <w:p w14:paraId="141786FA">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8.核爆炸、核辐射或核污染；</w:t>
      </w:r>
    </w:p>
    <w:p w14:paraId="7FAF8758">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9.遗传性疾病，先天性畸形、变形或染色体异常。</w:t>
      </w:r>
    </w:p>
    <w:p w14:paraId="0BE844C4">
      <w:pPr>
        <w:adjustRightInd w:val="0"/>
        <w:snapToGrid w:val="0"/>
        <w:spacing w:line="360" w:lineRule="auto"/>
        <w:ind w:firstLine="482" w:firstLineChars="200"/>
        <w:rPr>
          <w:rFonts w:ascii="楷体" w:hAnsi="楷体" w:eastAsia="楷体" w:cs="Arial"/>
          <w:b/>
          <w:sz w:val="24"/>
          <w:shd w:val="pct10" w:color="auto" w:fill="FFFFFF"/>
        </w:rPr>
      </w:pPr>
      <w:r>
        <w:rPr>
          <w:rFonts w:hint="eastAsia" w:ascii="楷体" w:hAnsi="楷体" w:eastAsia="楷体" w:cs="Arial"/>
          <w:b/>
          <w:sz w:val="24"/>
          <w:shd w:val="pct10" w:color="auto" w:fill="FFFFFF"/>
        </w:rPr>
        <w:t>发生上述第1项情形导致被保险人初次发生重大疾病的，保险人对该被保险人保险责任终止，并向该被保险人或该被保险人的继承人退还其对应的未满期净保险费。</w:t>
      </w:r>
    </w:p>
    <w:p w14:paraId="68A2C82D">
      <w:pPr>
        <w:adjustRightInd w:val="0"/>
        <w:snapToGrid w:val="0"/>
        <w:spacing w:line="360" w:lineRule="auto"/>
        <w:ind w:firstLine="482" w:firstLineChars="200"/>
        <w:rPr>
          <w:rFonts w:ascii="楷体" w:hAnsi="楷体" w:eastAsia="楷体" w:cs="Arial"/>
          <w:b/>
          <w:sz w:val="24"/>
          <w:shd w:val="pct10" w:color="auto" w:fill="FFFFFF"/>
        </w:rPr>
      </w:pPr>
      <w:r>
        <w:rPr>
          <w:rFonts w:hint="eastAsia" w:ascii="楷体" w:hAnsi="楷体" w:eastAsia="楷体" w:cs="Arial"/>
          <w:b/>
          <w:sz w:val="24"/>
          <w:shd w:val="pct10" w:color="auto" w:fill="FFFFFF"/>
        </w:rPr>
        <w:t>发生上述其它情形导致被保险人初次发生重大疾病的，保险人对该被保险人保险责任终止，并向投保人退还该被保险人的未满期净保险费。</w:t>
      </w:r>
    </w:p>
    <w:p w14:paraId="7F853595">
      <w:pPr>
        <w:pStyle w:val="7"/>
        <w:numPr>
          <w:ilvl w:val="0"/>
          <w:numId w:val="10"/>
        </w:numPr>
        <w:adjustRightInd w:val="0"/>
        <w:snapToGrid w:val="0"/>
        <w:spacing w:line="360" w:lineRule="auto"/>
        <w:ind w:firstLineChars="0"/>
        <w:outlineLvl w:val="1"/>
        <w:rPr>
          <w:rFonts w:ascii="楷体" w:hAnsi="楷体" w:eastAsia="楷体" w:cs="Arial"/>
          <w:b/>
          <w:sz w:val="24"/>
          <w:shd w:val="pct10" w:color="auto" w:fill="FFFFFF"/>
        </w:rPr>
      </w:pPr>
      <w:r>
        <w:rPr>
          <w:rFonts w:hint="eastAsia" w:ascii="楷体" w:hAnsi="楷体" w:eastAsia="楷体" w:cs="Arial"/>
          <w:b/>
          <w:color w:val="000000"/>
          <w:kern w:val="0"/>
          <w:sz w:val="24"/>
          <w:shd w:val="pct10" w:color="auto" w:fill="FFFFFF"/>
        </w:rPr>
        <w:t>《平安附加意外伤害（2018）团体医疗保险》责任免除：</w:t>
      </w:r>
    </w:p>
    <w:p w14:paraId="346581C7">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因下列情形之一，导致被保险人发生保险事故的，保险人不承担保险责任：</w:t>
      </w:r>
    </w:p>
    <w:p w14:paraId="35307175">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1.投保人对被保险人的故意杀害、故意伤害；</w:t>
      </w:r>
    </w:p>
    <w:p w14:paraId="1E7D57E5">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2.被保险人故意自伤、故意犯罪或者抗拒依法采取的刑事强制措施；</w:t>
      </w:r>
    </w:p>
    <w:p w14:paraId="49A19D1F">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3.被保险人殴斗、醉酒，主动吸食或注射毒品；</w:t>
      </w:r>
    </w:p>
    <w:p w14:paraId="58157930">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4.被保险人酒后驾驶、无合法有效驾驶证驾驶，或驾驶无有效行驶证的机动车；</w:t>
      </w:r>
    </w:p>
    <w:p w14:paraId="4AD718DA">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5.战争、军事冲突、暴乱或武装叛乱；</w:t>
      </w:r>
    </w:p>
    <w:p w14:paraId="38E14B0C">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6.核爆炸、核辐射或核污染；</w:t>
      </w:r>
    </w:p>
    <w:p w14:paraId="3608DBC2">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7.</w:t>
      </w:r>
      <w:r>
        <w:rPr>
          <w:rFonts w:ascii="楷体" w:hAnsi="楷体" w:eastAsia="楷体" w:cs="Arial"/>
          <w:b/>
          <w:sz w:val="24"/>
          <w:shd w:val="pct10" w:color="auto" w:fill="FFFFFF"/>
        </w:rPr>
        <w:t xml:space="preserve"> 被保险人因妊娠（含宫外孕）、流产、分娩（含剖宫产）导致的伤害</w:t>
      </w:r>
      <w:r>
        <w:rPr>
          <w:rFonts w:hint="eastAsia" w:ascii="楷体" w:hAnsi="楷体" w:eastAsia="楷体" w:cs="Arial"/>
          <w:b/>
          <w:sz w:val="24"/>
          <w:shd w:val="pct10" w:color="auto" w:fill="FFFFFF"/>
        </w:rPr>
        <w:t>；</w:t>
      </w:r>
    </w:p>
    <w:p w14:paraId="0CE3777F">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8.椎间盘突出症(包括椎间盘膨出、椎间盘突出、椎间盘脱出、游离型椎间盘等类型)；</w:t>
      </w:r>
    </w:p>
    <w:p w14:paraId="0D6C0AB2">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9.</w:t>
      </w:r>
      <w:r>
        <w:rPr>
          <w:rFonts w:ascii="楷体" w:hAnsi="楷体" w:eastAsia="楷体" w:cs="Arial"/>
          <w:b/>
          <w:sz w:val="24"/>
          <w:shd w:val="pct10" w:color="auto" w:fill="FFFFFF"/>
        </w:rPr>
        <w:t xml:space="preserve"> 被保险人因医疗事故、药物过敏或精神和行为障碍（依照世界卫生组织《疾病和有关健康问题的国际统计分类》（ICD-10）确定）导致的伤害</w:t>
      </w:r>
      <w:r>
        <w:rPr>
          <w:rFonts w:hint="eastAsia" w:ascii="楷体" w:hAnsi="楷体" w:eastAsia="楷体" w:cs="Arial"/>
          <w:b/>
          <w:sz w:val="24"/>
          <w:shd w:val="pct10" w:color="auto" w:fill="FFFFFF"/>
        </w:rPr>
        <w:t>；</w:t>
      </w:r>
    </w:p>
    <w:p w14:paraId="04E3140D">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10.被保险人未遵医嘱，私自使用药物，但按使用说明的规定使用非处方药不在此限；</w:t>
      </w:r>
    </w:p>
    <w:p w14:paraId="1684F1D8">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11.细菌或病毒感染</w:t>
      </w:r>
      <w:r>
        <w:rPr>
          <w:rFonts w:ascii="楷体" w:hAnsi="楷体" w:eastAsia="楷体" w:cs="Arial"/>
          <w:b/>
          <w:sz w:val="24"/>
          <w:shd w:val="pct10" w:color="auto" w:fill="FFFFFF"/>
        </w:rPr>
        <w:t>（因意外伤害导致的伤口发生感染者除外）</w:t>
      </w:r>
      <w:r>
        <w:rPr>
          <w:rFonts w:hint="eastAsia" w:ascii="楷体" w:hAnsi="楷体" w:eastAsia="楷体" w:cs="Arial"/>
          <w:b/>
          <w:sz w:val="24"/>
          <w:shd w:val="pct10" w:color="auto" w:fill="FFFFFF"/>
        </w:rPr>
        <w:t>；</w:t>
      </w:r>
    </w:p>
    <w:p w14:paraId="3D5BA2E6">
      <w:pPr>
        <w:autoSpaceDE w:val="0"/>
        <w:autoSpaceDN w:val="0"/>
        <w:adjustRightInd w:val="0"/>
        <w:spacing w:line="360" w:lineRule="auto"/>
        <w:jc w:val="left"/>
        <w:rPr>
          <w:rFonts w:ascii="楷体" w:hAnsi="楷体" w:eastAsia="楷体" w:cs="Arial"/>
          <w:b/>
          <w:sz w:val="24"/>
          <w:shd w:val="pct10" w:color="auto" w:fill="FFFFFF"/>
        </w:rPr>
      </w:pPr>
      <w:r>
        <w:rPr>
          <w:rFonts w:hint="eastAsia" w:ascii="楷体" w:hAnsi="楷体" w:eastAsia="楷体" w:cs="Arial"/>
          <w:b/>
          <w:sz w:val="24"/>
          <w:shd w:val="pct10" w:color="auto" w:fill="FFFFFF"/>
        </w:rPr>
        <w:t>12.被保险人参加潜水、跳伞、攀岩、蹦极、驾驶滑翔机或滑翔伞、探险、摔跤、武术比赛、特技表演、赛马、赛车等高风险运动。</w:t>
      </w:r>
    </w:p>
    <w:p w14:paraId="6C03319C">
      <w:pPr>
        <w:pStyle w:val="7"/>
        <w:numPr>
          <w:ilvl w:val="0"/>
          <w:numId w:val="10"/>
        </w:numPr>
        <w:spacing w:line="360" w:lineRule="auto"/>
        <w:ind w:left="482" w:hanging="482" w:hangingChars="200"/>
        <w:outlineLvl w:val="1"/>
        <w:rPr>
          <w:rFonts w:ascii="楷体" w:hAnsi="楷体" w:eastAsia="楷体" w:cs="Arial"/>
          <w:b/>
          <w:sz w:val="24"/>
          <w:shd w:val="pct10" w:color="auto" w:fill="FFFFFF"/>
        </w:rPr>
      </w:pPr>
      <w:r>
        <w:rPr>
          <w:rFonts w:hint="eastAsia" w:ascii="楷体" w:hAnsi="楷体" w:eastAsia="楷体" w:cs="Arial"/>
          <w:b/>
          <w:color w:val="000000"/>
          <w:kern w:val="0"/>
          <w:sz w:val="24"/>
          <w:shd w:val="pct10" w:color="auto" w:fill="FFFFFF"/>
        </w:rPr>
        <w:t>《平安住院津贴（2018）团体医疗保险》责任免除：</w:t>
      </w:r>
    </w:p>
    <w:p w14:paraId="51931ED0">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因下列情形之一，造成被保险人住院治疗的，本保险人不承担给付保险金的责任：</w:t>
      </w:r>
    </w:p>
    <w:p w14:paraId="1411F632">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1.投保人对被保险人的故意杀害、故意伤害；</w:t>
      </w:r>
    </w:p>
    <w:p w14:paraId="101E8D78">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2.被保险人患精神和行为障碍、先天性畸形、变形或染色体异常（依照世界卫生组织《疾病和有关健康问题的国际统计分类》（ICD-10）确定）；</w:t>
      </w:r>
    </w:p>
    <w:p w14:paraId="7F25FBFF">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3.被保险人患先天性疾病、遗传性疾病；</w:t>
      </w:r>
    </w:p>
    <w:p w14:paraId="6F4169CF">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4.被保险人不孕不育治疗、人工受精、怀孕、分娩（含难产）、流产、堕胎、节育（含绝育）、产前产后检查以及由以上原因引起的并发症，但因意外伤害事故所致的分娩（含难产）、流产及其并发症，不受此限；</w:t>
      </w:r>
    </w:p>
    <w:p w14:paraId="3B8513EC">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5.被保险人接受矫形、视力矫正手术、美容、牙科保健及康复治疗、非意外伤害事故所致的整容手术；</w:t>
      </w:r>
    </w:p>
    <w:p w14:paraId="7B5A29F6">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6.被保险人健康检查、疗养、静养或特别护理；</w:t>
      </w:r>
    </w:p>
    <w:p w14:paraId="4D08AB6B">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7.被保险人从事潜水、跳伞、攀岩、蹦极、驾驶滑翔机或滑翔伞、探险、武术比赛、摔跤、特技表演、赛马、赛车等高风险运动；</w:t>
      </w:r>
    </w:p>
    <w:p w14:paraId="60A4F4D2">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8.被保险人患未告知的既往症及保险单中特别约定的除外疾病；</w:t>
      </w:r>
    </w:p>
    <w:p w14:paraId="33510B09">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9.被保险人故意自伤、故意犯罪或抗拒依法采取的刑事强制措施；</w:t>
      </w:r>
    </w:p>
    <w:p w14:paraId="47211D94">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10.被保险人殴斗、醉酒，主动吸食或注射毒品；</w:t>
      </w:r>
    </w:p>
    <w:p w14:paraId="5C789147">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11.被保险人未遵医嘱，私自使用药物，但按使用说明的规定使用非处方药不在此限；</w:t>
      </w:r>
    </w:p>
    <w:p w14:paraId="186A3AD2">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12.被保险人酒后驾驶、无合法有效驾驶证驾驶或驾驶无有效行驶证的机动车；</w:t>
      </w:r>
    </w:p>
    <w:p w14:paraId="3E5F3E97">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13.被保险人患性病、艾滋病或感染艾滋病病毒期间因疾病导致的医疗费用；</w:t>
      </w:r>
    </w:p>
    <w:p w14:paraId="5B7C28A3">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14.战争、军事冲突、暴乱、武装叛乱、化学污染或恐怖行为；</w:t>
      </w:r>
    </w:p>
    <w:p w14:paraId="075C6C1E">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15.核爆炸、核辐射或核污染。</w:t>
      </w:r>
    </w:p>
    <w:p w14:paraId="2B71B45C">
      <w:pPr>
        <w:pStyle w:val="7"/>
        <w:numPr>
          <w:ilvl w:val="0"/>
          <w:numId w:val="10"/>
        </w:numPr>
        <w:adjustRightInd w:val="0"/>
        <w:snapToGrid w:val="0"/>
        <w:spacing w:line="360" w:lineRule="auto"/>
        <w:ind w:left="482" w:hanging="482" w:hangingChars="200"/>
        <w:outlineLvl w:val="1"/>
        <w:rPr>
          <w:rFonts w:ascii="楷体" w:hAnsi="楷体" w:eastAsia="楷体" w:cs="Arial"/>
          <w:b/>
          <w:sz w:val="24"/>
          <w:shd w:val="pct10" w:color="auto" w:fill="FFFFFF"/>
        </w:rPr>
      </w:pPr>
      <w:r>
        <w:rPr>
          <w:rFonts w:hint="eastAsia" w:ascii="楷体" w:hAnsi="楷体" w:eastAsia="楷体" w:cs="Arial"/>
          <w:b/>
          <w:color w:val="000000"/>
          <w:kern w:val="0"/>
          <w:sz w:val="24"/>
          <w:shd w:val="pct10" w:color="auto" w:fill="FFFFFF"/>
        </w:rPr>
        <w:t>《平安住院（2018）团体医疗保险》责任免除：</w:t>
      </w:r>
    </w:p>
    <w:p w14:paraId="4420F4AE">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因下列情形之一，导致被保险人住院治疗的，除非另有约定，保险人不承担保险责任：</w:t>
      </w:r>
    </w:p>
    <w:p w14:paraId="3F578716">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1.被保险人患未告知的既往症及保险单中特别约定的除外疾病；</w:t>
      </w:r>
    </w:p>
    <w:p w14:paraId="1BE62299">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2.被保险人患精神和行为障碍、先天性畸形、变形或染色体异常（依照世界卫生组织《疾病和有关健康问题的国际统计分类》（ICD-10）确定）；</w:t>
      </w:r>
    </w:p>
    <w:p w14:paraId="66CA059F">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3.被保险人患先天性疾病、遗传性疾病；</w:t>
      </w:r>
    </w:p>
    <w:p w14:paraId="6F468DE2">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4. 被保险人不孕不育治疗、人工受精、怀孕、分娩（含难产）、流产、堕胎、节育（含绝育）、产前产后检查以及由以上原因引起的并发症，但因意外伤害事故所致的分娩（含难产）、流产及并发症，不受此限；</w:t>
      </w:r>
    </w:p>
    <w:p w14:paraId="00BE113D">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5.被保险人患牙科疾病，但因意外伤害事故所致者不受此限；</w:t>
      </w:r>
    </w:p>
    <w:p w14:paraId="16A807A3">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6.被保险人接受矫形、视力矫正手术、美容、牙科保健及康复治疗、非意外伤害事故所致</w:t>
      </w:r>
    </w:p>
    <w:p w14:paraId="4739ADB7">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的整容手术；</w:t>
      </w:r>
    </w:p>
    <w:p w14:paraId="0ACA1EFC">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7.被保险人健康检查、疗养、静养或特别护理；</w:t>
      </w:r>
    </w:p>
    <w:p w14:paraId="07136F16">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8.被保险人从事潜水、跳伞、攀岩、蹦极、驾驶滑翔机或滑翔伞、探险、武术比赛、摔跤、</w:t>
      </w:r>
    </w:p>
    <w:p w14:paraId="0F9941B0">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特技表演、赛马、赛车等高风险运动；</w:t>
      </w:r>
    </w:p>
    <w:p w14:paraId="0579B43D">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9.投保人对被保险人的故意杀害、故意伤害；</w:t>
      </w:r>
    </w:p>
    <w:p w14:paraId="29043D96">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10.被保险人故意自伤、故意犯罪或抗拒依法采取的刑事强制措施；</w:t>
      </w:r>
    </w:p>
    <w:p w14:paraId="22BB6A87">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11.被保险人殴斗、醉酒，主动吸食或注射毒品；</w:t>
      </w:r>
    </w:p>
    <w:p w14:paraId="0AF27804">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12.被保险人未遵医嘱，私自使用药物，但按使用说明的规定使用非处方药不在此限；</w:t>
      </w:r>
    </w:p>
    <w:p w14:paraId="12F2E30F">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13.被保险人酒后驾驶、无合法有效驾驶证驾驶或驾驶无有效行驶证的机动车；</w:t>
      </w:r>
    </w:p>
    <w:p w14:paraId="0AFD735F">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14.被保险人患性病、艾滋病或感染艾滋病病毒期间因疾病导致的；</w:t>
      </w:r>
    </w:p>
    <w:p w14:paraId="383FAA7A">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15.战争、军事冲突、暴乱、武装叛乱、化学污染或恐怖行为；</w:t>
      </w:r>
    </w:p>
    <w:p w14:paraId="7D7BCF2D">
      <w:pPr>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16.核爆炸、核辐射或核污染。</w:t>
      </w:r>
    </w:p>
    <w:p w14:paraId="11C7EEC8">
      <w:pPr>
        <w:pStyle w:val="7"/>
        <w:numPr>
          <w:ilvl w:val="0"/>
          <w:numId w:val="10"/>
        </w:numPr>
        <w:adjustRightInd w:val="0"/>
        <w:snapToGrid w:val="0"/>
        <w:spacing w:line="360" w:lineRule="auto"/>
        <w:ind w:left="482" w:hanging="482" w:hangingChars="200"/>
        <w:outlineLvl w:val="1"/>
        <w:rPr>
          <w:rFonts w:ascii="楷体" w:hAnsi="楷体" w:eastAsia="楷体" w:cs="Arial"/>
          <w:b/>
          <w:sz w:val="24"/>
          <w:shd w:val="pct10" w:color="auto" w:fill="FFFFFF"/>
        </w:rPr>
      </w:pPr>
      <w:r>
        <w:rPr>
          <w:rFonts w:hint="eastAsia" w:ascii="楷体" w:hAnsi="楷体" w:eastAsia="楷体" w:cs="Arial"/>
          <w:b/>
          <w:kern w:val="0"/>
          <w:sz w:val="24"/>
          <w:shd w:val="pct10" w:color="auto" w:fill="FFFFFF"/>
        </w:rPr>
        <w:t>《平安附加门诊急诊（2018）团体医疗保险》</w:t>
      </w:r>
      <w:r>
        <w:rPr>
          <w:rFonts w:hint="eastAsia" w:ascii="楷体" w:hAnsi="楷体" w:eastAsia="楷体" w:cs="Arial"/>
          <w:b/>
          <w:color w:val="000000"/>
          <w:kern w:val="0"/>
          <w:sz w:val="24"/>
          <w:shd w:val="pct10" w:color="auto" w:fill="FFFFFF"/>
        </w:rPr>
        <w:t>责任免除：</w:t>
      </w:r>
    </w:p>
    <w:p w14:paraId="3E2024D4">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因下列情形之一，造成被保险人门诊急诊医疗费用支出的，除非另有约定，本公司不承担给付保险金的责任：</w:t>
      </w:r>
    </w:p>
    <w:p w14:paraId="7231BF5D">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1.被保险人患未告知的既往症及保险单中特别约定的除外疾病；</w:t>
      </w:r>
    </w:p>
    <w:p w14:paraId="798757A1">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2. 被保险人患精神和行为障碍、先天性畸形、变形或染色体异常（依照世界卫生组织《疾病和有关健康问题的国际统计分类》（ICD-10）确定）；</w:t>
      </w:r>
    </w:p>
    <w:p w14:paraId="5839BDA3">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3.被保险人患先天性疾病、遗传性疾病、职业病及其引起的并发症；</w:t>
      </w:r>
    </w:p>
    <w:p w14:paraId="3A2D03B0">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4. 被保险人不孕不育治疗、人工受精、怀孕、分娩（含难产）、流产、堕胎、节育（含绝育）、产前产后检查以及由以上原因引起的并发症，但因意外伤害事故所致的分娩（含难产）、流产不受此限；</w:t>
      </w:r>
    </w:p>
    <w:p w14:paraId="6BF338DF">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5.被保险人患牙科疾病，但因意外伤害事故所致者不受此限；</w:t>
      </w:r>
    </w:p>
    <w:p w14:paraId="6CD9BD38">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6.被保险人因整容手术或其它内、外科手术导致的医疗事故；</w:t>
      </w:r>
    </w:p>
    <w:p w14:paraId="783CF112">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7.被保险人从事潜水、跳伞、攀岩、蹦极、驾驶滑翔机或滑翔伞、探险、武术比赛、摔跤、特技表演、赛马、赛车等高风险运动；</w:t>
      </w:r>
    </w:p>
    <w:p w14:paraId="54F936C0">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8.投保人对被保险人的故意杀害、故意伤害；</w:t>
      </w:r>
    </w:p>
    <w:p w14:paraId="77B63D49">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9.被保险人故意自伤、故意犯罪或抗拒依法采取的刑事强制措施；</w:t>
      </w:r>
    </w:p>
    <w:p w14:paraId="255A1C0C">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10.被保险人殴斗、醉酒，主动吸食或注射毒品；</w:t>
      </w:r>
    </w:p>
    <w:p w14:paraId="0CF2BC06">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11.被保险人未遵医嘱，私自使用药物，但按使用说明的规定使用非处方药不在此限；</w:t>
      </w:r>
    </w:p>
    <w:p w14:paraId="5723E67B">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12.被保险人酒后驾驶、无合法有效驾驶证驾驶或驾驶无有效行驶证的机动车；</w:t>
      </w:r>
    </w:p>
    <w:p w14:paraId="174DCE49">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13.被保险人患性病、艾滋病或感染艾滋病病毒期间因疾病导致的；</w:t>
      </w:r>
    </w:p>
    <w:p w14:paraId="1FB13B20">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14.战争、军事冲突、暴乱、武装叛乱、化学污染或恐怖行为；</w:t>
      </w:r>
    </w:p>
    <w:p w14:paraId="1C574832">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15.核爆炸、核辐射或核污染。</w:t>
      </w:r>
    </w:p>
    <w:p w14:paraId="5B796088">
      <w:pPr>
        <w:pStyle w:val="7"/>
        <w:numPr>
          <w:ilvl w:val="0"/>
          <w:numId w:val="10"/>
        </w:numPr>
        <w:adjustRightInd w:val="0"/>
        <w:snapToGrid w:val="0"/>
        <w:spacing w:line="360" w:lineRule="auto"/>
        <w:ind w:left="482" w:hanging="482" w:hangingChars="200"/>
        <w:outlineLvl w:val="1"/>
        <w:rPr>
          <w:rFonts w:ascii="楷体" w:hAnsi="楷体" w:eastAsia="楷体" w:cs="Arial"/>
          <w:b/>
          <w:sz w:val="24"/>
          <w:shd w:val="pct10" w:color="auto" w:fill="FFFFFF"/>
        </w:rPr>
      </w:pPr>
      <w:r>
        <w:rPr>
          <w:rFonts w:hint="eastAsia" w:ascii="楷体" w:hAnsi="楷体" w:eastAsia="楷体" w:cs="Arial"/>
          <w:b/>
          <w:sz w:val="24"/>
          <w:shd w:val="pct10" w:color="auto" w:fill="FFFFFF"/>
        </w:rPr>
        <w:t>除非另有约定，因下列投保前已患疾病（即既往症）及其并发症或已有残疾导致的保险事故责任免除：</w:t>
      </w:r>
    </w:p>
    <w:p w14:paraId="5A792E5A">
      <w:pPr>
        <w:adjustRightInd w:val="0"/>
        <w:snapToGrid w:val="0"/>
        <w:spacing w:line="360" w:lineRule="auto"/>
        <w:ind w:firstLine="482" w:firstLineChars="200"/>
        <w:rPr>
          <w:rFonts w:ascii="楷体" w:hAnsi="楷体" w:eastAsia="楷体" w:cs="Arial"/>
          <w:b/>
          <w:sz w:val="24"/>
          <w:shd w:val="pct10" w:color="auto" w:fill="FFFFFF"/>
        </w:rPr>
      </w:pPr>
      <w:r>
        <w:rPr>
          <w:rFonts w:hint="eastAsia" w:ascii="楷体" w:hAnsi="楷体" w:eastAsia="楷体" w:cs="Arial"/>
          <w:b/>
          <w:sz w:val="24"/>
          <w:shd w:val="pct10" w:color="auto" w:fill="FFFFFF"/>
        </w:rPr>
        <w:t>被保险人本次投保前所患恶性肿瘤、心脏病（心功能不全II级以上）、心肌梗塞、白血病、高血压（II级以上）、肝硬化、慢性阻塞性支气管疾病、脑血管疾病、慢性肾脏疾病、糖尿病、再生障碍性贫血、癫痫病、《中华人民共和国传染病防治法》规定的传染病及其他未治愈疾病及其并发症或已有残疾的治疗和康复所发生的医疗费用支出。</w:t>
      </w:r>
    </w:p>
    <w:p w14:paraId="2084BB5D">
      <w:pPr>
        <w:pStyle w:val="7"/>
        <w:numPr>
          <w:ilvl w:val="0"/>
          <w:numId w:val="10"/>
        </w:numPr>
        <w:adjustRightInd w:val="0"/>
        <w:snapToGrid w:val="0"/>
        <w:spacing w:line="360" w:lineRule="auto"/>
        <w:ind w:left="482" w:hanging="482" w:hangingChars="200"/>
        <w:outlineLvl w:val="1"/>
        <w:rPr>
          <w:rFonts w:ascii="楷体" w:hAnsi="楷体" w:eastAsia="楷体" w:cs="Arial"/>
          <w:b/>
          <w:sz w:val="24"/>
          <w:shd w:val="pct10" w:color="auto" w:fill="FFFFFF"/>
        </w:rPr>
      </w:pPr>
      <w:r>
        <w:rPr>
          <w:rFonts w:hint="eastAsia" w:ascii="楷体" w:hAnsi="楷体" w:eastAsia="楷体" w:cs="Arial"/>
          <w:b/>
          <w:sz w:val="24"/>
          <w:shd w:val="pct10" w:color="auto" w:fill="FFFFFF"/>
        </w:rPr>
        <w:t>医疗技术滥用：</w:t>
      </w:r>
    </w:p>
    <w:p w14:paraId="5AA50B9B">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以下情况的医疗技术滥用将不在报销范围内：</w:t>
      </w:r>
    </w:p>
    <w:p w14:paraId="08BB1B65">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1.疾病诊断不在药品、检查、诊疗项目的适应症范围内；</w:t>
      </w:r>
    </w:p>
    <w:p w14:paraId="0D169C41">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2.药品在疾病诊断的禁用范围内；</w:t>
      </w:r>
    </w:p>
    <w:p w14:paraId="377523AF">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3.用药与性别，年龄不符；</w:t>
      </w:r>
    </w:p>
    <w:p w14:paraId="660C5F11">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4.用药量超过</w:t>
      </w:r>
      <w:r>
        <w:rPr>
          <w:rFonts w:hint="eastAsia" w:ascii="楷体" w:hAnsi="楷体" w:eastAsia="楷体" w:cs="Arial"/>
          <w:b/>
          <w:color w:val="000000" w:themeColor="text1"/>
          <w:sz w:val="24"/>
          <w:shd w:val="pct10" w:color="auto" w:fill="FFFFFF"/>
          <w14:textFill>
            <w14:solidFill>
              <w14:schemeClr w14:val="tx1"/>
            </w14:solidFill>
          </w14:textFill>
        </w:rPr>
        <w:t>当地社保用药量的规定；</w:t>
      </w:r>
    </w:p>
    <w:p w14:paraId="1F1499C2">
      <w:pPr>
        <w:adjustRightInd w:val="0"/>
        <w:snapToGrid w:val="0"/>
        <w:spacing w:line="360" w:lineRule="auto"/>
        <w:rPr>
          <w:rFonts w:ascii="楷体" w:hAnsi="楷体" w:eastAsia="楷体" w:cs="Arial"/>
          <w:b/>
          <w:sz w:val="24"/>
          <w:shd w:val="pct10" w:color="auto" w:fill="FFFFFF"/>
        </w:rPr>
      </w:pPr>
      <w:r>
        <w:rPr>
          <w:rFonts w:hint="eastAsia" w:ascii="楷体" w:hAnsi="楷体" w:eastAsia="楷体" w:cs="Arial"/>
          <w:b/>
          <w:sz w:val="24"/>
          <w:shd w:val="pct10" w:color="auto" w:fill="FFFFFF"/>
        </w:rPr>
        <w:t>5.无诊断就诊。</w:t>
      </w:r>
    </w:p>
    <w:p w14:paraId="55E47749">
      <w:pPr>
        <w:pStyle w:val="7"/>
        <w:numPr>
          <w:ilvl w:val="0"/>
          <w:numId w:val="10"/>
        </w:numPr>
        <w:adjustRightInd w:val="0"/>
        <w:snapToGrid w:val="0"/>
        <w:spacing w:line="360" w:lineRule="auto"/>
        <w:ind w:left="1" w:hanging="1" w:firstLineChars="0"/>
        <w:outlineLvl w:val="1"/>
        <w:rPr>
          <w:rFonts w:ascii="楷体" w:hAnsi="楷体" w:eastAsia="楷体" w:cs="Arial"/>
          <w:b/>
          <w:sz w:val="24"/>
          <w:shd w:val="pct10" w:color="auto" w:fill="FFFFFF"/>
        </w:rPr>
      </w:pPr>
      <w:r>
        <w:rPr>
          <w:rFonts w:hint="eastAsia" w:ascii="楷体" w:hAnsi="楷体" w:eastAsia="楷体" w:cs="Arial"/>
          <w:b/>
          <w:sz w:val="24"/>
          <w:shd w:val="pct10" w:color="auto" w:fill="FFFFFF"/>
        </w:rPr>
        <w:t>其他责任免除：</w:t>
      </w:r>
    </w:p>
    <w:p w14:paraId="25A90025">
      <w:pPr>
        <w:pStyle w:val="7"/>
        <w:adjustRightInd w:val="0"/>
        <w:snapToGrid w:val="0"/>
        <w:spacing w:line="360" w:lineRule="auto"/>
        <w:ind w:left="1" w:hanging="1" w:firstLineChars="0"/>
        <w:rPr>
          <w:rFonts w:ascii="楷体" w:hAnsi="楷体" w:eastAsia="楷体" w:cs="Arial"/>
          <w:b/>
          <w:sz w:val="24"/>
          <w:shd w:val="pct10" w:color="auto" w:fill="FFFFFF"/>
        </w:rPr>
      </w:pPr>
      <w:r>
        <w:rPr>
          <w:rFonts w:hint="eastAsia" w:ascii="楷体" w:hAnsi="楷体" w:eastAsia="楷体" w:cs="Arial"/>
          <w:b/>
          <w:sz w:val="24"/>
          <w:shd w:val="pct10" w:color="auto" w:fill="FFFFFF"/>
        </w:rPr>
        <w:t>因下列情形之一，造成被保险人医疗费用支出的，除非另有约定，本公司不承担给付保险金的责任：</w:t>
      </w:r>
    </w:p>
    <w:p w14:paraId="4B7530AE">
      <w:pPr>
        <w:pStyle w:val="7"/>
        <w:numPr>
          <w:ilvl w:val="0"/>
          <w:numId w:val="11"/>
        </w:numPr>
        <w:adjustRightInd w:val="0"/>
        <w:snapToGrid w:val="0"/>
        <w:spacing w:line="360" w:lineRule="auto"/>
        <w:ind w:left="1" w:hanging="1" w:firstLineChars="0"/>
        <w:rPr>
          <w:rFonts w:ascii="楷体" w:hAnsi="楷体" w:eastAsia="楷体" w:cs="Arial"/>
          <w:b/>
          <w:sz w:val="24"/>
          <w:shd w:val="pct10" w:color="auto" w:fill="FFFFFF"/>
        </w:rPr>
      </w:pPr>
      <w:r>
        <w:rPr>
          <w:rFonts w:hint="eastAsia" w:ascii="楷体" w:hAnsi="楷体" w:eastAsia="楷体" w:cs="Arial"/>
          <w:b/>
          <w:sz w:val="24"/>
          <w:shd w:val="pct10" w:color="auto" w:fill="FFFFFF"/>
        </w:rPr>
        <w:t>非本人就诊、代配药、外配药、代诊</w:t>
      </w:r>
    </w:p>
    <w:p w14:paraId="69D96DD5">
      <w:pPr>
        <w:pStyle w:val="7"/>
        <w:numPr>
          <w:ilvl w:val="0"/>
          <w:numId w:val="11"/>
        </w:numPr>
        <w:adjustRightInd w:val="0"/>
        <w:snapToGrid w:val="0"/>
        <w:spacing w:line="360" w:lineRule="auto"/>
        <w:ind w:left="1" w:hanging="1" w:firstLineChars="0"/>
        <w:rPr>
          <w:rFonts w:ascii="楷体" w:hAnsi="楷体" w:eastAsia="楷体" w:cs="Arial"/>
          <w:b/>
          <w:sz w:val="24"/>
          <w:shd w:val="pct10" w:color="auto" w:fill="FFFFFF"/>
        </w:rPr>
      </w:pPr>
      <w:r>
        <w:rPr>
          <w:rFonts w:hint="eastAsia" w:ascii="楷体" w:hAnsi="楷体" w:eastAsia="楷体" w:cs="Arial"/>
          <w:b/>
          <w:sz w:val="24"/>
          <w:shd w:val="pct10" w:color="auto" w:fill="FFFFFF"/>
        </w:rPr>
        <w:t>验光配镜、近视、远视、斜视眼的屈光不正</w:t>
      </w:r>
    </w:p>
    <w:p w14:paraId="5557706D">
      <w:pPr>
        <w:pStyle w:val="7"/>
        <w:numPr>
          <w:ilvl w:val="0"/>
          <w:numId w:val="11"/>
        </w:numPr>
        <w:adjustRightInd w:val="0"/>
        <w:snapToGrid w:val="0"/>
        <w:spacing w:line="360" w:lineRule="auto"/>
        <w:ind w:left="1" w:hanging="1" w:firstLineChars="0"/>
        <w:rPr>
          <w:rFonts w:ascii="楷体" w:hAnsi="楷体" w:eastAsia="楷体" w:cs="Arial"/>
          <w:b/>
          <w:sz w:val="24"/>
          <w:shd w:val="pct10" w:color="auto" w:fill="FFFFFF"/>
        </w:rPr>
      </w:pPr>
      <w:r>
        <w:rPr>
          <w:rFonts w:hint="eastAsia" w:ascii="楷体" w:hAnsi="楷体" w:eastAsia="楷体" w:cs="Arial"/>
          <w:b/>
          <w:sz w:val="24"/>
          <w:shd w:val="pct10" w:color="auto" w:fill="FFFFFF"/>
        </w:rPr>
        <w:t>戒毒、戒酒、戒烟、疗养、整容、美容、变性，被保险人献血、捐献骨髓或任何人体器官或组织</w:t>
      </w:r>
    </w:p>
    <w:p w14:paraId="1680DC98">
      <w:pPr>
        <w:pStyle w:val="7"/>
        <w:numPr>
          <w:ilvl w:val="0"/>
          <w:numId w:val="11"/>
        </w:numPr>
        <w:adjustRightInd w:val="0"/>
        <w:snapToGrid w:val="0"/>
        <w:spacing w:line="360" w:lineRule="auto"/>
        <w:ind w:left="1" w:hanging="1" w:firstLineChars="0"/>
        <w:rPr>
          <w:rFonts w:ascii="楷体" w:hAnsi="楷体" w:eastAsia="楷体" w:cs="Arial"/>
          <w:b/>
          <w:sz w:val="24"/>
          <w:shd w:val="pct10" w:color="auto" w:fill="FFFFFF"/>
        </w:rPr>
      </w:pPr>
      <w:r>
        <w:rPr>
          <w:rFonts w:hint="eastAsia" w:ascii="楷体" w:hAnsi="楷体" w:eastAsia="楷体" w:cs="Arial"/>
          <w:b/>
          <w:sz w:val="24"/>
          <w:shd w:val="pct10" w:color="auto" w:fill="FFFFFF"/>
        </w:rPr>
        <w:t>非因疾病就诊，减肥、增胖、增高等项目</w:t>
      </w:r>
    </w:p>
    <w:p w14:paraId="689B6246">
      <w:pPr>
        <w:pStyle w:val="7"/>
        <w:numPr>
          <w:ilvl w:val="0"/>
          <w:numId w:val="11"/>
        </w:numPr>
        <w:adjustRightInd w:val="0"/>
        <w:snapToGrid w:val="0"/>
        <w:spacing w:line="360" w:lineRule="auto"/>
        <w:ind w:left="1" w:hanging="1" w:firstLineChars="0"/>
        <w:rPr>
          <w:rFonts w:ascii="楷体" w:hAnsi="楷体" w:eastAsia="楷体" w:cs="Arial"/>
          <w:b/>
          <w:sz w:val="24"/>
          <w:shd w:val="pct10" w:color="auto" w:fill="FFFFFF"/>
        </w:rPr>
      </w:pPr>
      <w:r>
        <w:rPr>
          <w:rFonts w:hint="eastAsia" w:ascii="楷体" w:hAnsi="楷体" w:eastAsia="楷体" w:cs="Arial"/>
          <w:b/>
          <w:sz w:val="24"/>
          <w:shd w:val="pct10" w:color="auto" w:fill="FFFFFF"/>
        </w:rPr>
        <w:t>检查、治疗、用药与疾病诊断不符</w:t>
      </w:r>
    </w:p>
    <w:p w14:paraId="2C15F3F8">
      <w:pPr>
        <w:pStyle w:val="7"/>
        <w:numPr>
          <w:ilvl w:val="0"/>
          <w:numId w:val="11"/>
        </w:numPr>
        <w:adjustRightInd w:val="0"/>
        <w:snapToGrid w:val="0"/>
        <w:spacing w:line="360" w:lineRule="auto"/>
        <w:ind w:left="1" w:hanging="1" w:firstLineChars="0"/>
        <w:rPr>
          <w:rFonts w:ascii="楷体" w:hAnsi="楷体" w:eastAsia="楷体" w:cs="Arial"/>
          <w:b/>
          <w:sz w:val="24"/>
          <w:shd w:val="pct10" w:color="auto" w:fill="FFFFFF"/>
        </w:rPr>
      </w:pPr>
      <w:r>
        <w:rPr>
          <w:rFonts w:hint="eastAsia" w:ascii="楷体" w:hAnsi="楷体" w:eastAsia="楷体" w:cs="Arial"/>
          <w:b/>
          <w:sz w:val="24"/>
          <w:shd w:val="pct10" w:color="auto" w:fill="FFFFFF"/>
        </w:rPr>
        <w:t>无主诉、诊断，直接配药、取药、治疗或检查</w:t>
      </w:r>
    </w:p>
    <w:p w14:paraId="613D3115">
      <w:pPr>
        <w:pStyle w:val="7"/>
        <w:numPr>
          <w:ilvl w:val="0"/>
          <w:numId w:val="11"/>
        </w:numPr>
        <w:adjustRightInd w:val="0"/>
        <w:snapToGrid w:val="0"/>
        <w:spacing w:line="360" w:lineRule="auto"/>
        <w:ind w:left="1" w:hanging="1" w:firstLineChars="0"/>
        <w:rPr>
          <w:rFonts w:ascii="楷体" w:hAnsi="楷体" w:eastAsia="楷体" w:cs="Arial"/>
          <w:b/>
          <w:sz w:val="24"/>
          <w:shd w:val="pct10" w:color="auto" w:fill="FFFFFF"/>
        </w:rPr>
      </w:pPr>
      <w:r>
        <w:rPr>
          <w:rFonts w:hint="eastAsia" w:ascii="楷体" w:hAnsi="楷体" w:eastAsia="楷体" w:cs="Arial"/>
          <w:b/>
          <w:sz w:val="24"/>
          <w:shd w:val="pct10" w:color="auto" w:fill="FFFFFF"/>
        </w:rPr>
        <w:t>任何免疫疫苗，预防性的检查检验、治疗或药物，各种保健性、疗养、静养或特别护理的诊疗项目（如足部反射推拿，健身按摩等）</w:t>
      </w:r>
    </w:p>
    <w:p w14:paraId="2C229317">
      <w:r>
        <w:rPr>
          <w:rFonts w:hint="eastAsia" w:ascii="楷体" w:hAnsi="楷体" w:eastAsia="楷体" w:cs="Arial"/>
          <w:b/>
          <w:sz w:val="24"/>
          <w:shd w:val="pct10" w:color="auto" w:fill="FFFFFF"/>
        </w:rPr>
        <w:t>不符合入院标准、挂床住院或住院病人应当出院而拒不出院（从医院确定出院之日起发生的一切医疗费用）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515D6"/>
    <w:multiLevelType w:val="multilevel"/>
    <w:tmpl w:val="039515D6"/>
    <w:lvl w:ilvl="0" w:tentative="0">
      <w:start w:val="1"/>
      <w:numFmt w:val="decimal"/>
      <w:lvlText w:val="%1."/>
      <w:lvlJc w:val="left"/>
      <w:pPr>
        <w:ind w:left="840"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8E26F4D"/>
    <w:multiLevelType w:val="multilevel"/>
    <w:tmpl w:val="08E26F4D"/>
    <w:lvl w:ilvl="0" w:tentative="0">
      <w:start w:val="3"/>
      <w:numFmt w:val="chineseCountingThousand"/>
      <w:lvlText w:val="(%1)"/>
      <w:lvlJc w:val="left"/>
      <w:pPr>
        <w:ind w:left="420" w:hanging="420"/>
      </w:pPr>
      <w:rPr>
        <w:rFonts w:hint="eastAsia" w:ascii="仿宋_GB2312" w:eastAsia="仿宋_GB2312"/>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E2599D"/>
    <w:multiLevelType w:val="multilevel"/>
    <w:tmpl w:val="0DE2599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11320E"/>
    <w:multiLevelType w:val="multilevel"/>
    <w:tmpl w:val="1A11320E"/>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A4344B3"/>
    <w:multiLevelType w:val="multilevel"/>
    <w:tmpl w:val="1A4344B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A747E7E"/>
    <w:multiLevelType w:val="multilevel"/>
    <w:tmpl w:val="1A747E7E"/>
    <w:lvl w:ilvl="0" w:tentative="0">
      <w:start w:val="1"/>
      <w:numFmt w:val="chineseCountingThousand"/>
      <w:lvlText w:val="(%1)"/>
      <w:lvlJc w:val="left"/>
      <w:pPr>
        <w:ind w:left="420" w:hanging="420"/>
      </w:pPr>
      <w:rPr>
        <w:rFonts w:hint="eastAsia" w:ascii="仿宋_GB2312" w:eastAsia="仿宋_GB2312"/>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061F"/>
    <w:multiLevelType w:val="multilevel"/>
    <w:tmpl w:val="2029061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55E48D6"/>
    <w:multiLevelType w:val="multilevel"/>
    <w:tmpl w:val="255E48D6"/>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6B507E4"/>
    <w:multiLevelType w:val="multilevel"/>
    <w:tmpl w:val="36B507E4"/>
    <w:lvl w:ilvl="0" w:tentative="0">
      <w:start w:val="2"/>
      <w:numFmt w:val="chineseCountingThousand"/>
      <w:lvlText w:val="(%1)"/>
      <w:lvlJc w:val="left"/>
      <w:pPr>
        <w:ind w:left="420" w:hanging="420"/>
      </w:pPr>
      <w:rPr>
        <w:rFonts w:hint="eastAsia" w:ascii="仿宋_GB2312" w:eastAsia="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CFE0D6D"/>
    <w:multiLevelType w:val="multilevel"/>
    <w:tmpl w:val="6CFE0D6D"/>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6206850"/>
    <w:multiLevelType w:val="multilevel"/>
    <w:tmpl w:val="76206850"/>
    <w:lvl w:ilvl="0" w:tentative="0">
      <w:start w:val="1"/>
      <w:numFmt w:val="chineseCountingThousand"/>
      <w:lvlText w:val="(%1)"/>
      <w:lvlJc w:val="left"/>
      <w:pPr>
        <w:ind w:left="42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8"/>
  </w:num>
  <w:num w:numId="3">
    <w:abstractNumId w:val="0"/>
  </w:num>
  <w:num w:numId="4">
    <w:abstractNumId w:val="1"/>
  </w:num>
  <w:num w:numId="5">
    <w:abstractNumId w:val="7"/>
  </w:num>
  <w:num w:numId="6">
    <w:abstractNumId w:val="9"/>
  </w:num>
  <w:num w:numId="7">
    <w:abstractNumId w:val="4"/>
  </w:num>
  <w:num w:numId="8">
    <w:abstractNumId w:val="2"/>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NTkyN2QwYTc1YjE1NTRiMDRlMWE1MTIzMGI5ZjUifQ=="/>
  </w:docVars>
  <w:rsids>
    <w:rsidRoot w:val="00000000"/>
    <w:rsid w:val="38175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3">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Indent 3"/>
    <w:basedOn w:val="1"/>
    <w:unhideWhenUsed/>
    <w:qFormat/>
    <w:uiPriority w:val="0"/>
    <w:pPr>
      <w:ind w:firstLine="480" w:firstLineChars="200"/>
    </w:pPr>
    <w:rPr>
      <w:rFonts w:eastAsia="楷体_GB2312"/>
      <w:sz w:val="24"/>
    </w:rPr>
  </w:style>
  <w:style w:type="paragraph" w:styleId="7">
    <w:name w:val="List Paragraph"/>
    <w:basedOn w:val="1"/>
    <w:qFormat/>
    <w:uiPriority w:val="34"/>
    <w:pPr>
      <w:ind w:firstLine="420" w:firstLineChars="200"/>
    </w:pPr>
  </w:style>
  <w:style w:type="paragraph" w:customStyle="1" w:styleId="8">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2024-09-02T05:25:52Z</dcterms:created>
  <dc:creator>Administrator</dc:creator>
  <cp:lastModifiedBy>Administrator</cp:lastModifiedBy>
  <dcterms:modified xsi:type="dcterms:W3CDTF">2024-09-02T05:28:58Z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CB608AD681EC492DB33FD4167BD98394_12</vt:lpwstr>
  </property>
</Properties>
</file>